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1"/>
        <w:tblW w:w="13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795"/>
        <w:gridCol w:w="1200"/>
        <w:gridCol w:w="1500"/>
        <w:gridCol w:w="1500"/>
        <w:gridCol w:w="1500"/>
        <w:gridCol w:w="2925"/>
        <w:tblGridChange w:id="0">
          <w:tblGrid>
            <w:gridCol w:w="795"/>
            <w:gridCol w:w="3795"/>
            <w:gridCol w:w="1200"/>
            <w:gridCol w:w="1500"/>
            <w:gridCol w:w="1500"/>
            <w:gridCol w:w="150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CRISTINA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2"/>
        <w:tblW w:w="13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2805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28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CRISTINA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CHARLIANE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ROCHA MORAIS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CRISTINE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MARGARIDA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VIANA CANTUARIO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MARCELO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KD1ToBsgOophlJoetCv73ryuA==">CgMxLjA4AHIhMUdHNWxQT01NaTVaSzZKXzV5NjdPeWdtZ0M1bklPQ3Vi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2024-06-17T11:07:17-03:00</dcterms:created>
</cp:coreProperties>
</file>