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EDITAL n.º 008/2024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  <w:t xml:space="preserve">, conforme listas anexas ao edital n°007/2024. 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 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27 de junho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2157413</wp:posOffset>
          </wp:positionH>
          <wp:positionV relativeFrom="paragraph">
            <wp:posOffset>-257174</wp:posOffset>
          </wp:positionV>
          <wp:extent cx="1147763" cy="93521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9352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