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ind w:left="288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EDITAL Nº 006/2023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A 1ª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DIVULGAR o RESULTADO DEFINITIVO DA ENTREVISTA DE HETEROIDENTIFICAÇÃO,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INFORMAR </w:t>
      </w:r>
      <w:r w:rsidDel="00000000" w:rsidR="00000000" w:rsidRPr="00000000">
        <w:rPr>
          <w:rtl w:val="0"/>
        </w:rPr>
        <w:t xml:space="preserve">que, por decisão da</w:t>
      </w:r>
      <w:r w:rsidDel="00000000" w:rsidR="00000000" w:rsidRPr="00000000">
        <w:rPr>
          <w:b w:val="1"/>
          <w:rtl w:val="0"/>
        </w:rPr>
        <w:t xml:space="preserve"> COMISSÃO DO PROCESSO SELETIVO, REPUBLICA-SE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RESULTADO FINAL DO PROCESSO SELETIVO PARA RETIFICAR </w:t>
      </w:r>
      <w:r w:rsidDel="00000000" w:rsidR="00000000" w:rsidRPr="00000000">
        <w:rPr>
          <w:rtl w:val="0"/>
        </w:rPr>
        <w:t xml:space="preserve">as notas dos(as) candidatos a </w:t>
      </w:r>
      <w:r w:rsidDel="00000000" w:rsidR="00000000" w:rsidRPr="00000000">
        <w:rPr>
          <w:b w:val="1"/>
          <w:rtl w:val="0"/>
        </w:rPr>
        <w:t xml:space="preserve">ASSISTENTE SOCIAL E PSICÓLOGO</w:t>
      </w:r>
      <w:r w:rsidDel="00000000" w:rsidR="00000000" w:rsidRPr="00000000">
        <w:rPr>
          <w:rtl w:val="0"/>
        </w:rPr>
        <w:t xml:space="preserve"> do Núcleo de Imperatriz,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fim de adequá-las à previsão do art. 6.1 do Edital nº 001/2023 (Abertura).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nos diários oficiais do Estado do Maranhão e da União.</w:t>
      </w:r>
    </w:p>
    <w:p w:rsidR="00000000" w:rsidDel="00000000" w:rsidP="00000000" w:rsidRDefault="00000000" w:rsidRPr="00000000" w14:paraId="00000007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30 de março de 2023.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spacing w:before="48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8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C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0D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40" w:lineRule="auto"/>
        <w:ind w:left="0" w:right="60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II PROCESSO SELETIVO PARA PROFISSIONAIS E ESTAGIÁRIOS DO PROJETO  EU &amp; ELA REPENSANDO O GÊNERO (Convênio </w:t>
      </w:r>
      <w:r w:rsidDel="00000000" w:rsidR="00000000" w:rsidRPr="00000000">
        <w:rPr>
          <w:b w:val="1"/>
          <w:highlight w:val="white"/>
          <w:rtl w:val="0"/>
        </w:rPr>
        <w:t xml:space="preserve">nº 936448/2022)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40" w:lineRule="auto"/>
        <w:ind w:left="0" w:right="60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ANEXO I - RESULTADO ENTREVISTA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20"/>
        <w:gridCol w:w="4410"/>
        <w:gridCol w:w="1845"/>
        <w:gridCol w:w="1455"/>
        <w:tblGridChange w:id="0">
          <w:tblGrid>
            <w:gridCol w:w="1020"/>
            <w:gridCol w:w="4410"/>
            <w:gridCol w:w="1845"/>
            <w:gridCol w:w="145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(A)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40" w:lineRule="auto"/>
        <w:ind w:left="0" w:right="60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