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002/2022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240" w:line="240" w:lineRule="auto"/>
        <w:jc w:val="center"/>
        <w:rPr>
          <w:b w:val="1"/>
          <w:i w:val="0"/>
          <w:smallCaps w:val="1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SUBDEFENSORA PÚBLICA-GERAL DO ESTADO 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conforme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deste Edital, </w:t>
      </w:r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 DE INSCRIÇÕES DEFERIDAS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2°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 (MA), </w:t>
      </w:r>
      <w:r w:rsidDel="00000000" w:rsidR="00000000" w:rsidRPr="00000000">
        <w:rPr>
          <w:sz w:val="22"/>
          <w:szCs w:val="22"/>
          <w:rtl w:val="0"/>
        </w:rPr>
        <w:t xml:space="preserve">07 de outubro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firstLine="0"/>
        <w:jc w:val="center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YDx4m7Fawd524a2aTLA/fL9DsQ==">AMUW2mURSv6WilRWZ3XUD+RaaxlhcELi9Bl1n83cngltSGEd/5uat00HrsIHeQvSaauuy2XPPlOT1H8vDJ7OvuE9049DKZit29BSJb0V1aWd85qjs6d9SO+o+yKxMIoFRkqarIBIjg5b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