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8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2"/>
          <w:szCs w:val="22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PÓS-GRADUAÇÃO DIREITO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70"/>
        <w:gridCol w:w="5010"/>
        <w:gridCol w:w="1335"/>
        <w:gridCol w:w="2565"/>
        <w:tblGridChange w:id="0">
          <w:tblGrid>
            <w:gridCol w:w="1170"/>
            <w:gridCol w:w="5010"/>
            <w:gridCol w:w="1335"/>
            <w:gridCol w:w="256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RAÍ JOSÉ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ANDERSON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SUELLEN BIANCA VIANA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JOANICE DYARLEFE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EDNA LORENA DE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AGNALDO DE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2324100</wp:posOffset>
          </wp:positionH>
          <wp:positionV relativeFrom="paragraph">
            <wp:posOffset>-314324</wp:posOffset>
          </wp:positionV>
          <wp:extent cx="616585" cy="447675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RJ88dK4BKd/lHj1GQxy5DQCFwg==">AMUW2mVoyvRDMOOCLVtrH2UlMLKZwJ2n1YooUYoyb1DdbjrhEMXuWj1k27bDE2savK6wWofcVmtiG+WdAiual/6HUc4GHJBNIpw9WMkCZe850bkTKv1B0ug=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