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010/2022 – CONVÊNIO Nº 931415/2022/DEPEN – MSJP</w:t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rFonts w:ascii="Times New Roman" w:hAnsi="Times New Roman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1"/>
          <w:shd w:fill="FFFFFF" w:val="clear"/>
        </w:rPr>
        <w:t>I PROCESSO SELETIVO PARA PROFISSIONAIS E ESTAGIÁRIOS DO PROJETO EU &amp; ELA: REPENSANDO O GÊNERO</w:t>
      </w:r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 xml:space="preserve"> </w:t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b/>
          <w:b/>
          <w:bCs/>
          <w:sz w:val="22"/>
          <w:szCs w:val="22"/>
        </w:rPr>
      </w:pPr>
      <w:r>
        <w:rPr>
          <w:rFonts w:eastAsia="Times New Roman" w:ascii="Times New Roman" w:hAnsi="Times New Roman"/>
          <w:b/>
          <w:sz w:val="22"/>
          <w:szCs w:val="22"/>
        </w:rPr>
        <w:t xml:space="preserve">O DEFENSOR PÚBLICO-GERAL DO ESTADO DO MARANHÃO, </w:t>
      </w:r>
      <w:r>
        <w:rPr>
          <w:rFonts w:eastAsia="Times New Roman" w:ascii="Times New Roman" w:hAnsi="Times New Roman"/>
          <w:sz w:val="22"/>
          <w:szCs w:val="22"/>
        </w:rPr>
        <w:t>no uso de suas atribuições legais, e considerando o</w:t>
      </w:r>
      <w:r>
        <w:rPr>
          <w:rFonts w:eastAsia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/>
          <w:bCs/>
          <w:sz w:val="22"/>
          <w:szCs w:val="22"/>
        </w:rPr>
        <w:t>I PROCESSO SELETIVO PARA PROFISSIONAIS E ESTAGIÁRIOS DO PROJETO EU &amp; ELA: REPENSANDO O GÊNERO.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Considerando a desistência das candidatas convocadas por meio do Edital </w:t>
      </w:r>
      <w:r>
        <w:rPr>
          <w:rFonts w:eastAsia="Times New Roman" w:ascii="Times New Roman" w:hAnsi="Times New Roman"/>
          <w:bCs/>
          <w:sz w:val="22"/>
          <w:szCs w:val="22"/>
        </w:rPr>
        <w:t>nº 009/2022– CONVÊNIO Nº 931415/2022/DEPEN – MSJP</w:t>
      </w:r>
      <w:r>
        <w:rPr>
          <w:rFonts w:eastAsia="Times New Roman" w:ascii="Times New Roman" w:hAnsi="Times New Roman"/>
          <w:b/>
          <w:bCs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sz w:val="24"/>
        </w:rPr>
        <w:t>DALVIJANE SANTOS BARBOSA LIMA – Assistente Social e ISADORA BIANCA COELHO DO CARMO - Estagiária de Administração, resolve: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PÚBLICO</w:t>
      </w:r>
      <w:r>
        <w:rPr>
          <w:rFonts w:eastAsia="Times New Roman" w:ascii="Times New Roman" w:hAnsi="Times New Roman"/>
          <w:sz w:val="22"/>
          <w:szCs w:val="22"/>
        </w:rPr>
        <w:t xml:space="preserve"> a convocação dos candidatos cadastro de reserva em cada área, conforme </w:t>
      </w:r>
      <w:r>
        <w:rPr>
          <w:rFonts w:eastAsia="Times New Roman" w:ascii="Times New Roman" w:hAnsi="Times New Roman"/>
          <w:b/>
          <w:bCs/>
          <w:sz w:val="22"/>
          <w:szCs w:val="22"/>
        </w:rPr>
        <w:t>ANEXO ÚNICO</w:t>
      </w:r>
      <w:r>
        <w:rPr>
          <w:rFonts w:eastAsia="Times New Roman" w:ascii="Times New Roman" w:hAnsi="Times New Roman"/>
          <w:sz w:val="22"/>
          <w:szCs w:val="22"/>
        </w:rPr>
        <w:t xml:space="preserve">, para encaminhar os seguintes documentos (originais) digitalizados para o e-mail convenios@ma.def.br, até dia </w:t>
      </w:r>
      <w:r>
        <w:rPr>
          <w:rFonts w:eastAsia="Times New Roman" w:cs="Times New Roman" w:ascii="Times New Roman" w:hAnsi="Times New Roman"/>
          <w:sz w:val="22"/>
          <w:szCs w:val="22"/>
          <w:lang w:bidi="ar-SA"/>
        </w:rPr>
        <w:t>29</w:t>
      </w:r>
      <w:r>
        <w:rPr>
          <w:rFonts w:eastAsia="Times New Roman" w:ascii="Times New Roman" w:hAnsi="Times New Roman"/>
          <w:sz w:val="22"/>
          <w:szCs w:val="22"/>
        </w:rPr>
        <w:t xml:space="preserve"> de novembro: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CabealhoeRodap"/>
        <w:ind w:left="317" w:firstLine="42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I. DOCUMENTOS PROFISSIONAL:</w:t>
      </w:r>
    </w:p>
    <w:p>
      <w:pPr>
        <w:pStyle w:val="CabealhoeRodap"/>
        <w:ind w:left="317" w:firstLine="420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a) Carteira de Identidade e CPF; </w:t>
      </w:r>
    </w:p>
    <w:p>
      <w:pPr>
        <w:pStyle w:val="CabealhoeRodap"/>
        <w:ind w:left="317" w:firstLine="420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b) Comprovante de residência; </w:t>
      </w:r>
    </w:p>
    <w:p>
      <w:pPr>
        <w:pStyle w:val="CabealhoeRodap"/>
        <w:ind w:left="317" w:firstLine="420"/>
        <w:rPr>
          <w:sz w:val="22"/>
          <w:szCs w:val="22"/>
        </w:rPr>
      </w:pPr>
      <w:r>
        <w:rPr>
          <w:kern w:val="2"/>
          <w:sz w:val="22"/>
          <w:szCs w:val="22"/>
        </w:rPr>
        <w:t>c) Número de Conta Corrente;</w:t>
      </w:r>
    </w:p>
    <w:p>
      <w:pPr>
        <w:pStyle w:val="CabealhoeRodap"/>
        <w:ind w:left="317" w:firstLine="420"/>
        <w:rPr>
          <w:sz w:val="22"/>
          <w:szCs w:val="22"/>
        </w:rPr>
      </w:pPr>
      <w:r>
        <w:rPr>
          <w:kern w:val="2"/>
          <w:sz w:val="22"/>
          <w:szCs w:val="22"/>
        </w:rPr>
        <w:t>d) Número do PIS/PASEP;</w:t>
      </w:r>
    </w:p>
    <w:p>
      <w:pPr>
        <w:pStyle w:val="CabealhoeRodap"/>
        <w:ind w:left="709" w:hanging="0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>
        <w:rPr>
          <w:kern w:val="2"/>
          <w:sz w:val="22"/>
          <w:szCs w:val="22"/>
        </w:rPr>
        <w:t>Cópia do diploma de conclusão de nível superior ou certidão de conclusão do curso expedida pela mesma autoridade competente a expedir o diploma;</w:t>
      </w:r>
    </w:p>
    <w:p>
      <w:pPr>
        <w:pStyle w:val="CabealhoeRodap"/>
        <w:ind w:left="317" w:firstLine="420"/>
        <w:rPr>
          <w:sz w:val="22"/>
          <w:szCs w:val="22"/>
        </w:rPr>
      </w:pPr>
      <w:r>
        <w:rPr>
          <w:kern w:val="2"/>
          <w:sz w:val="22"/>
          <w:szCs w:val="22"/>
        </w:rPr>
        <w:t>f) Registro no conselho de classe (OAB ou CRESS);</w:t>
      </w:r>
    </w:p>
    <w:p>
      <w:pPr>
        <w:pStyle w:val="CabealhoeRodap"/>
        <w:ind w:left="993" w:hanging="284"/>
        <w:rPr>
          <w:sz w:val="22"/>
          <w:szCs w:val="22"/>
        </w:rPr>
      </w:pPr>
      <w:r>
        <w:rPr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CabealhoeRodap"/>
        <w:ind w:left="289" w:firstLine="42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II. DOCUMENTOS ESTAGIÁRIOS:</w:t>
      </w:r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a) Carteira de Identidade e CPF; </w:t>
      </w:r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b) Comprovante de residência; </w:t>
      </w:r>
      <w:bookmarkStart w:id="0" w:name="_GoBack"/>
      <w:bookmarkEnd w:id="0"/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>c) Número de Conta Corrente;</w:t>
      </w:r>
    </w:p>
    <w:p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>d) Declaração e Histórico da Faculdade;</w:t>
      </w:r>
    </w:p>
    <w:p>
      <w:pPr>
        <w:pStyle w:val="CabealhoeRodap"/>
        <w:ind w:left="993" w:hanging="284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567" w:firstLine="142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2º.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25 de novembro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color w:val="C9211E"/>
          <w:sz w:val="22"/>
          <w:szCs w:val="22"/>
        </w:rPr>
      </w:pPr>
      <w:r>
        <w:rPr>
          <w:rFonts w:eastAsia="Batang" w:ascii="Times New Roman" w:hAnsi="Times New Roman"/>
          <w:color w:val="000000"/>
          <w:sz w:val="24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>
      <w:pPr>
        <w:pStyle w:val="LOnormal"/>
        <w:spacing w:lineRule="auto" w:line="240"/>
        <w:jc w:val="center"/>
        <w:rPr>
          <w:sz w:val="24"/>
        </w:rPr>
      </w:pPr>
      <w:r>
        <w:rPr>
          <w:sz w:val="24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3849"/>
        <w:gridCol w:w="2139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ASSISTENTE SOCIAL 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VAGA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5º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Jordânia Maria de Ribamar Silva Fróes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</w:tr>
    </w:tbl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3737"/>
        <w:gridCol w:w="2251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ESTAGIÁRIO DE ADMINISTRAÇÃO 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VAGA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Josiane Barros da Silva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</w:tr>
    </w:tbl>
    <w:p>
      <w:pPr>
        <w:pStyle w:val="LOnormal"/>
        <w:widowControl w:val="false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5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2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81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9840"/>
                          <a:ext cx="6019200" cy="259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ID="Retângulo 5" path="m0,0l-2147483645,0l-2147483645,-2147483646l0,-2147483646xe" fillcolor="#42ad3b" stroked="f" o:allowincell="f" style="position:absolute;left:-315;top:965;width:9478;height:59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6" path="m0,0l-2147483645,0l-2147483645,-2147483646l0,-2147483646xe" fillcolor="#155e8f" stroked="f" o:allowincell="f" style="position:absolute;left:-315;top:1075;width:9478;height:40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bidi="ar-SA" w:val="pt-BR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0"/>
      <w:szCs w:val="24"/>
      <w:lang w:eastAsia="en-US" w:bidi="ar-SA" w:val="pt-BR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eastAsia="en-US" w:bidi="ar-SA" w:val="pt-BR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B697-FBF9-4985-9047-80B55E0C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Application>LibreOffice/7.3.5.2$Windows_X86_64 LibreOffice_project/184fe81b8c8c30d8b5082578aee2fed2ea847c01</Application>
  <AppVersion>15.0000</AppVersion>
  <Pages>2</Pages>
  <Words>299</Words>
  <Characters>1704</Characters>
  <CharactersWithSpaces>1976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2022-11-22T12:17:00Z</cp:lastPrinted>
  <dcterms:modified xsi:type="dcterms:W3CDTF">2022-11-28T10:53:38Z</dcterms:modified>
  <cp:revision>341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