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007/2022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4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DEFINITIVO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16 de Setembro de 2022.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4098543</wp:posOffset>
          </wp:positionH>
          <wp:positionV relativeFrom="paragraph">
            <wp:posOffset>95250</wp:posOffset>
          </wp:positionV>
          <wp:extent cx="698400" cy="50796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gFHKYrbdMppT2WSfg3YvY8cChA==">AMUW2mWJvDhrzc/CdGjTvJSr2rjTC5lRRbEPLjxWELBSomGgoDPNvt29qceMDIBEkXMxr5L8qvI5tEMtnTw9wABFcA0InjPss12/8gChYakQw9oGL2UaElc=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