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EDITAL Nº 01/2022</w:t>
      </w:r>
    </w:p>
    <w:p>
      <w:pPr>
        <w:pStyle w:val="Normal"/>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I PROCESSO SELETIVO PARA PROFISSIONAIS - </w:t>
      </w:r>
    </w:p>
    <w:p>
      <w:pPr>
        <w:pStyle w:val="Normal"/>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PROJETO CARRETA DOS DIREITOS</w:t>
      </w:r>
    </w:p>
    <w:p>
      <w:pPr>
        <w:pStyle w:val="Normal"/>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 xml:space="preserve">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r>
      <w:r>
        <w:rPr>
          <w:rFonts w:eastAsia="Times New Roman" w:cs="Times New Roman" w:ascii="Times New Roman" w:hAnsi="Times New Roman"/>
          <w:b/>
          <w:sz w:val="24"/>
          <w:szCs w:val="24"/>
        </w:rPr>
        <w:t xml:space="preserve"> SUBDEFENSORA PÚBLICA-GERAL DO ESTADO DO MARANHÃO, </w:t>
      </w:r>
      <w:r>
        <w:rPr>
          <w:rFonts w:eastAsia="Times New Roman" w:cs="Times New Roman" w:ascii="Times New Roman" w:hAnsi="Times New Roman"/>
          <w:sz w:val="24"/>
          <w:szCs w:val="24"/>
        </w:rPr>
        <w:t xml:space="preserve">no uso das atribuições conferidas pelo art. 97-A, I, da Lei Complementar nº 80, de 12 de janeiro de 1994, pelo art. 17, VI, da Lei Complementar do Estado do Maranhão nº 19, de 11 de janeiro de 1994 e pelo art. 5º, IV, “h”, </w:t>
      </w:r>
      <w:r>
        <w:rPr>
          <w:rFonts w:eastAsia="Times New Roman" w:cs="Times New Roman" w:ascii="Times New Roman" w:hAnsi="Times New Roman"/>
          <w:b/>
          <w:sz w:val="24"/>
          <w:szCs w:val="24"/>
        </w:rPr>
        <w:t>FAZ SABER</w:t>
      </w:r>
      <w:r>
        <w:rPr>
          <w:rFonts w:eastAsia="Times New Roman" w:cs="Times New Roman" w:ascii="Times New Roman" w:hAnsi="Times New Roman"/>
          <w:sz w:val="24"/>
          <w:szCs w:val="24"/>
        </w:rPr>
        <w:t xml:space="preserve"> a todos quantos o presente </w:t>
      </w:r>
      <w:r>
        <w:rPr>
          <w:rFonts w:eastAsia="Times New Roman" w:cs="Times New Roman" w:ascii="Times New Roman" w:hAnsi="Times New Roman"/>
          <w:b/>
          <w:sz w:val="24"/>
          <w:szCs w:val="24"/>
        </w:rPr>
        <w:t>EDITAL</w:t>
      </w:r>
      <w:r>
        <w:rPr>
          <w:rFonts w:eastAsia="Times New Roman" w:cs="Times New Roman" w:ascii="Times New Roman" w:hAnsi="Times New Roman"/>
          <w:sz w:val="24"/>
          <w:szCs w:val="24"/>
        </w:rPr>
        <w:t xml:space="preserve"> virem ou dele tiverem conhecimento que, na forma das normas ínsitas no art. 37, IX, da Constituição Federal e art. 19, IX, da Constituição do Estado do Maranhão, respectivamente combinados com a Lei nº 8.666/93 e demais normas que regem a matéria, ficam abertas no período de 13 de julho a 18 de julho de 2022, as inscrições do I PROCESSO SELETIVO PARA PROFISSIONAIS - Assessor Jurídico para atuação no </w:t>
      </w:r>
      <w:r>
        <w:rPr>
          <w:rFonts w:eastAsia="Times New Roman" w:cs="Times New Roman" w:ascii="Times New Roman" w:hAnsi="Times New Roman"/>
          <w:b/>
          <w:sz w:val="24"/>
          <w:szCs w:val="24"/>
        </w:rPr>
        <w:t>PROJETO “</w:t>
      </w:r>
      <w:r>
        <w:rPr>
          <w:rFonts w:cs="Times New Roman" w:ascii="Times New Roman" w:hAnsi="Times New Roman"/>
          <w:b/>
          <w:sz w:val="24"/>
          <w:szCs w:val="24"/>
        </w:rPr>
        <w:t xml:space="preserve"> CARRETA DOS DIREITOS”</w:t>
      </w:r>
      <w:r>
        <w:rPr>
          <w:rFonts w:eastAsia="Times New Roman" w:cs="Times New Roman" w:ascii="Times New Roman" w:hAnsi="Times New Roman"/>
          <w:sz w:val="24"/>
          <w:szCs w:val="24"/>
        </w:rPr>
        <w:t xml:space="preserve">, Convênio </w:t>
      </w:r>
      <w:r>
        <w:rPr>
          <w:rFonts w:cs="Times New Roman" w:ascii="Times New Roman" w:hAnsi="Times New Roman"/>
          <w:sz w:val="24"/>
          <w:szCs w:val="24"/>
        </w:rPr>
        <w:t>MJ/FDD nº 402/2021 - PLATAFORMA +BRASIL nº 923552/2021</w:t>
      </w:r>
      <w:r>
        <w:rPr>
          <w:rFonts w:eastAsia="Times New Roman" w:cs="Times New Roman" w:ascii="Times New Roman" w:hAnsi="Times New Roman"/>
          <w:sz w:val="24"/>
          <w:szCs w:val="24"/>
        </w:rPr>
        <w:t>, celebrado por intermédio do Ministério da Segurança Pública, por meio do Fundo de Direitos Difusos, e a Defensoria Pública do Estado do Maranhão.</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numPr>
          <w:ilvl w:val="0"/>
          <w:numId w:val="1"/>
        </w:numPr>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DAS DISPOSIÇÕES PRELIMINARES</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 O Processo Seletivo Simplificado regido por este Edital tem como objeto a contratação imediata de 2 (dois) Assessores Jurídicos para executar as atividades de atendimento e educação em Direitos que serão promovidas pelo Projeto Carreta dos Direitos, com escopo de fortalecer a atuação institucional, mormente no combate ao subregistro.</w:t>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1.2. O Processo Seletivo Simplificado se destina a selecionar candidatos para provimento, em caráter provisório e por tempo determinado de 32 (trinta e dois) meses, profissionais para as vagas de </w:t>
      </w:r>
      <w:r>
        <w:rPr>
          <w:rFonts w:eastAsia="Times New Roman" w:cs="Times New Roman" w:ascii="Times New Roman" w:hAnsi="Times New Roman"/>
          <w:b/>
          <w:sz w:val="24"/>
          <w:szCs w:val="24"/>
        </w:rPr>
        <w:t>ASSESSORIA JURÍDICA</w:t>
      </w:r>
      <w:r>
        <w:rPr>
          <w:rFonts w:eastAsia="Times New Roman" w:cs="Times New Roman" w:ascii="Times New Roman" w:hAnsi="Times New Roman"/>
          <w:sz w:val="24"/>
          <w:szCs w:val="24"/>
        </w:rPr>
        <w:t>, com a finalidade de executar o projeto acima citado, conforme quadro de vagas do item 2.1.</w:t>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1.3. Para instrução no processo seletivo, os profissionais deverão apresentar os documentos elencados no item 5.6, ressalvado os diplomas, a Certidão de Aprovação no Exame da Ordem, cuja apresentação somente será exigida quando da </w:t>
      </w:r>
      <w:r>
        <w:rPr>
          <w:rFonts w:eastAsia="Times New Roman" w:cs="Times New Roman" w:ascii="Times New Roman" w:hAnsi="Times New Roman"/>
          <w:b/>
          <w:sz w:val="24"/>
          <w:szCs w:val="24"/>
        </w:rPr>
        <w:t>CONVOCAÇÃO</w:t>
      </w:r>
      <w:r>
        <w:rPr>
          <w:rFonts w:eastAsia="Times New Roman" w:cs="Times New Roman" w:ascii="Times New Roman" w:hAnsi="Times New Roman"/>
          <w:sz w:val="24"/>
          <w:szCs w:val="24"/>
        </w:rPr>
        <w:t xml:space="preserve"> dos aprovados.</w:t>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1.4 O processo seletivo simplificado para profissionais será constituído de 2 (duas) etapas: </w:t>
      </w:r>
      <w:r>
        <w:rPr>
          <w:rFonts w:eastAsia="Times New Roman" w:cs="Times New Roman" w:ascii="Times New Roman" w:hAnsi="Times New Roman"/>
          <w:b/>
          <w:sz w:val="24"/>
          <w:szCs w:val="24"/>
        </w:rPr>
        <w:t>ANÁLISE CURRICULAR E ENTREVISTA COM PROVA ORAL</w:t>
      </w:r>
      <w:r>
        <w:rPr>
          <w:rFonts w:eastAsia="Times New Roman" w:cs="Times New Roman" w:ascii="Times New Roman" w:hAnsi="Times New Roman"/>
          <w:sz w:val="24"/>
          <w:szCs w:val="24"/>
        </w:rPr>
        <w:t>, sendo que as duas etapas serão de caráter eliminatório e classificatório.</w:t>
      </w:r>
    </w:p>
    <w:p>
      <w:pPr>
        <w:pStyle w:val="Normal"/>
        <w:spacing w:before="0" w:after="24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1.5 Toda publicação deste Processo Seletivo será divulgada no Diário Oficial do Estado e no endereço eletrônico https://defensoria.ma.def.br/seletivo/, conforme cronograma de realização que consta no Anexo deste Edital.</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 xml:space="preserve">1.6. As dúvidas referentes ao presente seletivo deverão ser encaminhadas </w:t>
      </w:r>
      <w:r>
        <w:rPr>
          <w:rFonts w:eastAsia="Times New Roman" w:cs="Times New Roman" w:ascii="Times New Roman" w:hAnsi="Times New Roman"/>
          <w:b/>
          <w:sz w:val="24"/>
          <w:szCs w:val="24"/>
        </w:rPr>
        <w:t xml:space="preserve">EXCLUSIVAMENTE </w:t>
      </w:r>
      <w:r>
        <w:rPr>
          <w:rFonts w:eastAsia="Times New Roman" w:cs="Times New Roman" w:ascii="Times New Roman" w:hAnsi="Times New Roman"/>
          <w:sz w:val="24"/>
          <w:szCs w:val="24"/>
        </w:rPr>
        <w:t>para o e-mail</w:t>
      </w:r>
      <w:r>
        <w:rPr>
          <w:rFonts w:eastAsia="Times New Roman" w:cs="Times New Roman" w:ascii="Times New Roman" w:hAnsi="Times New Roman"/>
          <w:b/>
          <w:sz w:val="24"/>
          <w:szCs w:val="24"/>
        </w:rPr>
        <w:t xml:space="preserve"> diretoriaas.estrategicos@ma.def.br</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ListParagraph"/>
        <w:numPr>
          <w:ilvl w:val="0"/>
          <w:numId w:val="1"/>
        </w:numPr>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DAS VAGAS, ATRIBUIÇÕES E REMUNERAÇÃO</w:t>
      </w:r>
    </w:p>
    <w:p>
      <w:pPr>
        <w:pStyle w:val="ListParagraph"/>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2.1. A contratação de que trata o presente Edital, destina-se ao preenchimento das seguintes vagas:</w:t>
      </w:r>
    </w:p>
    <w:tbl>
      <w:tblPr>
        <w:tblW w:w="6804" w:type="dxa"/>
        <w:jc w:val="left"/>
        <w:tblInd w:w="1124" w:type="dxa"/>
        <w:tblLayout w:type="fixed"/>
        <w:tblCellMar>
          <w:top w:w="100" w:type="dxa"/>
          <w:left w:w="100" w:type="dxa"/>
          <w:bottom w:w="100" w:type="dxa"/>
          <w:right w:w="100" w:type="dxa"/>
        </w:tblCellMar>
        <w:tblLook w:firstRow="0" w:noVBand="1" w:lastRow="0" w:firstColumn="0" w:lastColumn="0" w:noHBand="1" w:val="0600"/>
      </w:tblPr>
      <w:tblGrid>
        <w:gridCol w:w="1664"/>
        <w:gridCol w:w="1171"/>
        <w:gridCol w:w="1701"/>
        <w:gridCol w:w="2267"/>
      </w:tblGrid>
      <w:tr>
        <w:trPr>
          <w:trHeight w:val="593" w:hRule="atLeast"/>
        </w:trPr>
        <w:tc>
          <w:tcPr>
            <w:tcW w:w="6803" w:type="dxa"/>
            <w:gridSpan w:val="4"/>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ASSESSORIA JURÍDICA</w:t>
            </w:r>
          </w:p>
        </w:tc>
      </w:tr>
      <w:tr>
        <w:trPr>
          <w:trHeight w:val="1152" w:hRule="atLeast"/>
        </w:trPr>
        <w:tc>
          <w:tcPr>
            <w:tcW w:w="1664" w:type="dxa"/>
            <w:tcBorders>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LOCAL</w:t>
            </w:r>
          </w:p>
        </w:tc>
        <w:tc>
          <w:tcPr>
            <w:tcW w:w="1171"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VAGAS</w:t>
            </w:r>
          </w:p>
        </w:tc>
        <w:tc>
          <w:tcPr>
            <w:tcW w:w="1701"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CADASTRO DE RESERVA</w:t>
            </w:r>
          </w:p>
        </w:tc>
        <w:tc>
          <w:tcPr>
            <w:tcW w:w="2267"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REMUNERAÇÃO</w:t>
            </w:r>
          </w:p>
        </w:tc>
      </w:tr>
      <w:tr>
        <w:trPr>
          <w:trHeight w:val="485" w:hRule="atLeast"/>
        </w:trPr>
        <w:tc>
          <w:tcPr>
            <w:tcW w:w="1664" w:type="dxa"/>
            <w:tcBorders>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SÃO LUÍS</w:t>
            </w:r>
          </w:p>
        </w:tc>
        <w:tc>
          <w:tcPr>
            <w:tcW w:w="1171"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701"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2267"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R$ 4.923,89</w:t>
            </w:r>
          </w:p>
        </w:tc>
      </w:tr>
    </w:tbl>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before="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2.2 Além de outras funções definidas pela Defensoria Público-Geral, através da Diretoria de Assuntos Institucionais e Estratégicos, devem ser também desenvolvidas as seguintes atribuições:</w:t>
      </w:r>
    </w:p>
    <w:p>
      <w:pPr>
        <w:pStyle w:val="Normal"/>
        <w:spacing w:before="0" w:after="240"/>
        <w:ind w:left="1843"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2.2.1. </w:t>
      </w:r>
      <w:r>
        <w:rPr>
          <w:rFonts w:eastAsia="Times New Roman" w:cs="Times New Roman" w:ascii="Times New Roman" w:hAnsi="Times New Roman"/>
          <w:b/>
          <w:sz w:val="24"/>
          <w:szCs w:val="24"/>
        </w:rPr>
        <w:t>Prestar assessoria direta aos Defensores/as Públicos/as nas ações e atendimentos promovidas nas comunidades e nas cidades do interior do Estado do Maranhão, bem como desenvolver todas as atividades inerentes ao desempenho e eficácia desse atendimento;</w:t>
      </w:r>
    </w:p>
    <w:p>
      <w:pPr>
        <w:pStyle w:val="Normal"/>
        <w:spacing w:before="0" w:after="240"/>
        <w:ind w:left="1843"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2.2.2. Realizar pesquisa de jurisprudência e doutrina;</w:t>
      </w:r>
    </w:p>
    <w:p>
      <w:pPr>
        <w:pStyle w:val="Normal"/>
        <w:spacing w:before="0" w:after="240"/>
        <w:ind w:left="1843"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2.2.3. Elaborar, sob orientação, minuta de Ofícios, Comunicações Internas, Declarações e outras peças jurídicas necessárias a plena execução das atividades vinculadas aos atendimentos;</w:t>
      </w:r>
    </w:p>
    <w:p>
      <w:pPr>
        <w:pStyle w:val="Normal"/>
        <w:spacing w:before="0" w:after="240"/>
        <w:ind w:left="1843"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2.2.4. Movimentar processos nos sistemas eletrônicos, mediante atos como arquivamento, recebimento, dentre outros;</w:t>
      </w:r>
    </w:p>
    <w:p>
      <w:pPr>
        <w:pStyle w:val="Normal"/>
        <w:spacing w:before="0" w:after="240"/>
        <w:ind w:left="1843"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2.2.5. Registrar os atendimentos nos respectivos sistemas da Defensoria Pública do Estado do Maranhão;</w:t>
      </w:r>
    </w:p>
    <w:p>
      <w:pPr>
        <w:pStyle w:val="Normal"/>
        <w:spacing w:before="0" w:after="240"/>
        <w:ind w:left="1843"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2.2.6. Zelar pela Carreta de Direitos, fazendo bom uso dos seus equipamentos e utensílios;</w:t>
      </w:r>
    </w:p>
    <w:p>
      <w:pPr>
        <w:pStyle w:val="Normal"/>
        <w:spacing w:before="0" w:after="240"/>
        <w:ind w:left="1843"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2.2.7. Acompanhar a equipe de atendimento nas viagens agendadas para o interior do Estado do Maranhão;</w:t>
      </w:r>
    </w:p>
    <w:p>
      <w:pPr>
        <w:pStyle w:val="Normal"/>
        <w:spacing w:before="0" w:after="240"/>
        <w:ind w:left="1843"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2.3 A remuneração dos cargos dos profissionais será de acordo com o previsto no Plano de Trabalho do PROJETO “ CARRETA DOS DIREITOS”, Convênio MJ/FDD nº 402/2021 - PLATAFORMA +BRASIL nº 923552/2021. Os profissionais receberão a remuneração acima estabelecida no período de 32 (trinta e dois) meses.</w:t>
      </w:r>
    </w:p>
    <w:p>
      <w:pPr>
        <w:pStyle w:val="Normal"/>
        <w:jc w:val="both"/>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r>
    </w:p>
    <w:p>
      <w:pPr>
        <w:pStyle w:val="ListParagraph"/>
        <w:numPr>
          <w:ilvl w:val="0"/>
          <w:numId w:val="1"/>
        </w:numPr>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DAS PESSOAS COM DEFICIÊNCIA</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24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 xml:space="preserve">3.1. Durante o período de validade do processo seletivo, </w:t>
      </w:r>
      <w:r>
        <w:rPr>
          <w:rFonts w:eastAsia="Times New Roman" w:cs="Times New Roman" w:ascii="Times New Roman" w:hAnsi="Times New Roman"/>
          <w:b/>
          <w:sz w:val="24"/>
          <w:szCs w:val="24"/>
        </w:rPr>
        <w:t>10% (dez por cento)</w:t>
      </w:r>
      <w:r>
        <w:rPr>
          <w:rFonts w:eastAsia="Times New Roman" w:cs="Times New Roman" w:ascii="Times New Roman" w:hAnsi="Times New Roman"/>
          <w:sz w:val="24"/>
          <w:szCs w:val="24"/>
        </w:rPr>
        <w:t xml:space="preserve"> das contratações serão reservadas às pessoas com deficiência, facultados pelo inciso VIII do art. 37 da CF, desde que a deficiência seja compatível com as condições das atividades desempenhadas pelo cargo;</w:t>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3.2. Caso a aplicação do percentual estabelecido no item 3.1 resulte em número fracionado, este será elevado para o primeiro número inteiro subsequente, em caso de fração igual ou maior que 0,5 (cinco décimos), ou diminuído para o número inteiro imediatamente inferior, em caso de fração menor que 0,5 (cinco décimos);</w:t>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3.3. Os candidatos com deficiência deverão declarar, no requerimento de inscrição, a natureza e o grau de incapacidade que apresentam, devendo, ainda, juntar atestado médico que mencione a classificação internacional de doença – CID;</w:t>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3.4. 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Normal"/>
        <w:spacing w:before="0" w:after="24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3.5. Os candidatos com deficiência também deverão informar, no momento da inscrição, se há necessidade de atendimento diferenciado e a eventual necessidade de adaptações, conforme art. 1º do Decreto Federal n</w:t>
      </w:r>
      <w:r>
        <w:rPr>
          <w:rFonts w:eastAsia="Times New Roman" w:cs="Times New Roman" w:ascii="Times New Roman" w:hAnsi="Times New Roman"/>
          <w:sz w:val="24"/>
          <w:szCs w:val="24"/>
          <w:vertAlign w:val="superscript"/>
        </w:rPr>
        <w:t>o</w:t>
      </w:r>
      <w:r>
        <w:rPr>
          <w:rFonts w:eastAsia="Times New Roman" w:cs="Times New Roman" w:ascii="Times New Roman" w:hAnsi="Times New Roman"/>
          <w:sz w:val="24"/>
          <w:szCs w:val="24"/>
        </w:rPr>
        <w:t xml:space="preserve"> 9.508/2018;</w:t>
      </w:r>
    </w:p>
    <w:p>
      <w:pPr>
        <w:pStyle w:val="Normal"/>
        <w:spacing w:before="0" w:after="24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3.6. A solicitação de atendimento diferenciado será atendida observando critérios de viabilidade e razoabilidade e seu o deferimento será oportunamente comunicado ao candidato;</w:t>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3.7. Os candidatos com deficiência concorrerão concomitantemente às vagas a eles reservadas e às vagas destinadas à ampla concorrência, de acordo com a sua classificação neste processo seletivo;</w:t>
      </w:r>
    </w:p>
    <w:p>
      <w:pPr>
        <w:pStyle w:val="Normal"/>
        <w:spacing w:before="0" w:after="24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3.8. O candidato com deficiência participará do processo seletivo em igualdade de condições com os demais candidatos, no que se refere ao conteúdo, à avaliação, horário de início e às notas mínimas exigidas;</w:t>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3.9. 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istParagraph"/>
        <w:numPr>
          <w:ilvl w:val="0"/>
          <w:numId w:val="1"/>
        </w:numPr>
        <w:spacing w:before="0" w:after="240"/>
        <w:contextualSpacing/>
        <w:jc w:val="both"/>
        <w:rPr>
          <w:rFonts w:ascii="Times New Roman" w:hAnsi="Times New Roman" w:eastAsia="Times New Roman" w:cs="Times New Roman"/>
          <w:b/>
          <w:b/>
          <w:bCs/>
          <w:sz w:val="24"/>
          <w:szCs w:val="24"/>
        </w:rPr>
      </w:pPr>
      <w:r>
        <w:rPr>
          <w:rFonts w:eastAsia="Times New Roman" w:cs="Times New Roman" w:ascii="Times New Roman" w:hAnsi="Times New Roman"/>
          <w:b/>
          <w:sz w:val="24"/>
          <w:szCs w:val="24"/>
        </w:rPr>
        <w:t>DAS VAGAS RESERVADAS AOS PRETOS E PARDOS.</w:t>
      </w:r>
    </w:p>
    <w:p>
      <w:pPr>
        <w:pStyle w:val="Normal"/>
        <w:spacing w:before="0" w:after="240"/>
        <w:ind w:left="14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4.1. Ficam reservadas aos pretos ou pardos o percentual de 30% (dez por cento) das vagas deste processo seletivo;</w:t>
      </w:r>
    </w:p>
    <w:p>
      <w:pPr>
        <w:pStyle w:val="Normal"/>
        <w:spacing w:before="0" w:after="240"/>
        <w:ind w:left="140" w:hanging="0"/>
        <w:rPr>
          <w:rFonts w:ascii="Times New Roman" w:hAnsi="Times New Roman" w:eastAsia="Times New Roman" w:cs="Times New Roman"/>
          <w:b/>
          <w:b/>
          <w:sz w:val="24"/>
          <w:szCs w:val="24"/>
        </w:rPr>
      </w:pPr>
      <w:r>
        <w:rPr>
          <w:rFonts w:eastAsia="Times New Roman" w:cs="Times New Roman" w:ascii="Times New Roman" w:hAnsi="Times New Roman"/>
          <w:sz w:val="24"/>
          <w:szCs w:val="24"/>
        </w:rPr>
        <w:t>4.2. Poderão concorrer às referidas vagas aqueles que se autodeclararem pretos ou pardos no ato da inscrição, conforme o quesito cor ou raça utilizado pela Fundação Instituto Brasileiro de Geografia e Estatística —IBGE;</w:t>
      </w:r>
    </w:p>
    <w:p>
      <w:pPr>
        <w:pStyle w:val="Normal"/>
        <w:spacing w:before="0" w:after="240"/>
        <w:ind w:left="140" w:hanging="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4.3. A autodeclaração terá validade somente para este processo seletivo, não podendo ser estendida a outros certames;</w:t>
      </w:r>
    </w:p>
    <w:p>
      <w:pPr>
        <w:pStyle w:val="Normal"/>
        <w:spacing w:before="0" w:after="240"/>
        <w:ind w:left="14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4.4. O candidato que se autodeclarar preto ou pardo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pPr>
        <w:pStyle w:val="Normal"/>
        <w:spacing w:before="0" w:after="240"/>
        <w:ind w:left="1800" w:hanging="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4.4.1. O candidato que não comparecer quando convocado pela Comissão de Heteroidentificação será considerado eliminado do certame;</w:t>
      </w:r>
    </w:p>
    <w:p>
      <w:pPr>
        <w:pStyle w:val="Normal"/>
        <w:spacing w:before="0" w:after="240"/>
        <w:ind w:left="1800" w:hanging="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4.4.2. O candidato que não tiver sua autodeclaração validada pela Comissão de Heteoridentificação será comunicado, por meio de decisão fundamentada, e poderá interpor recurso no prazo de dois dias úteis, a contar do recebimento da decisão.</w:t>
      </w:r>
    </w:p>
    <w:p>
      <w:pPr>
        <w:pStyle w:val="Normal"/>
        <w:spacing w:before="0" w:after="240"/>
        <w:ind w:left="140" w:hanging="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4.5. 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Normal"/>
        <w:spacing w:before="0" w:after="240"/>
        <w:ind w:left="14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4.6. Os candidatos pretos ou pardos concorrerão concomitantemente às vagas a eles reservadas e às vagas destinadas à ampla concorrência, de acordo com a sua classificação neste processo seletivo;</w:t>
      </w:r>
    </w:p>
    <w:p>
      <w:pPr>
        <w:pStyle w:val="Normal"/>
        <w:spacing w:before="0" w:after="240"/>
        <w:ind w:left="140" w:hanging="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 xml:space="preserve">4.7 Além das vagas previstas no </w:t>
      </w:r>
      <w:r>
        <w:rPr>
          <w:rFonts w:eastAsia="Times New Roman" w:cs="Times New Roman" w:ascii="Times New Roman" w:hAnsi="Times New Roman"/>
          <w:i/>
          <w:sz w:val="24"/>
          <w:szCs w:val="24"/>
        </w:rPr>
        <w:t>caput</w:t>
      </w:r>
      <w:r>
        <w:rPr>
          <w:rFonts w:eastAsia="Times New Roman" w:cs="Times New Roman" w:ascii="Times New Roman" w:hAnsi="Times New Roman"/>
          <w:sz w:val="24"/>
          <w:szCs w:val="24"/>
        </w:rPr>
        <w:t>, os candidatos pretos ou pardos poderão optar por concorrer às vagas reservadas às pessoas com deficiência, se atenderem essa condição, de acordo com a sua classificação neste processo seletivo;</w:t>
      </w:r>
    </w:p>
    <w:p>
      <w:pPr>
        <w:pStyle w:val="Normal"/>
        <w:spacing w:before="0" w:after="240"/>
        <w:ind w:left="140" w:hanging="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4.8. Os candidatos pretos ou pardos, aprovados dentro do número de vagas oferecidas para ampla concorrência, não serão computados para efeito do preenchimento das vagas reservadas especificamente para candidatos pretos ou pardos;</w:t>
      </w:r>
    </w:p>
    <w:p>
      <w:pPr>
        <w:pStyle w:val="Normal"/>
        <w:spacing w:before="0" w:after="240"/>
        <w:ind w:left="14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4.9. Os candidatos pretos ou pardos, aprovados para as vagas a eles destinadas e às reservadas às pessoas com deficiência, convocados concomitantemente para o provimento dos cargos, deverão manifestar opção por uma delas;</w:t>
      </w:r>
    </w:p>
    <w:p>
      <w:pPr>
        <w:pStyle w:val="Normal"/>
        <w:spacing w:before="0" w:after="240"/>
        <w:ind w:left="140" w:hanging="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4.10. Na hipótese de que trata o item anterior, caso os candidatos não se manifestem previamente, serão nomeados dentro das vagas destinadas aos pretos ou pardos;</w:t>
      </w:r>
    </w:p>
    <w:p>
      <w:pPr>
        <w:pStyle w:val="Normal"/>
        <w:spacing w:before="0" w:after="240"/>
        <w:ind w:left="14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4.11. Em caso de desistência de candidato preto ou pardo, aprovado em vaga reservada, a vaga será preenchida pelo candidato preto ou pardo posteriormente classificado;</w:t>
      </w:r>
    </w:p>
    <w:p>
      <w:pPr>
        <w:pStyle w:val="Normal"/>
        <w:spacing w:before="0" w:after="240"/>
        <w:ind w:left="140" w:hanging="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4.12. Na hipótese de não haver candidatos pretos ou pardos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Normal"/>
        <w:spacing w:before="0" w:after="240"/>
        <w:ind w:left="14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4.13. A convocação dos candidatos pretos ou pardos aprovados respeitará os critérios de alternância e de proporcionalidade, que consideram a relação entre o número total de vagas e o número de vagas reservadas a candidatos com deficiência e a candidatos pretos ou pardos.</w:t>
      </w:r>
    </w:p>
    <w:p>
      <w:pPr>
        <w:pStyle w:val="Normal"/>
        <w:spacing w:before="0" w:after="24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5</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DA INSCRIÇÃO NO PROCESSO SELETIVO</w:t>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5.1.</w:t>
      </w:r>
      <w:r>
        <w:rPr>
          <w:rFonts w:cs="Times New Roman" w:ascii="Times New Roman" w:hAnsi="Times New Roman"/>
        </w:rPr>
        <w:t xml:space="preserve"> </w:t>
      </w:r>
      <w:r>
        <w:rPr>
          <w:rFonts w:eastAsia="Times New Roman" w:cs="Times New Roman" w:ascii="Times New Roman" w:hAnsi="Times New Roman"/>
          <w:sz w:val="24"/>
          <w:szCs w:val="24"/>
        </w:rPr>
        <w:t xml:space="preserve">Antes de efetivar a inscrição, o candidato deverá </w:t>
      </w:r>
      <w:r>
        <w:rPr>
          <w:rFonts w:eastAsia="Times New Roman" w:cs="Times New Roman" w:ascii="Times New Roman" w:hAnsi="Times New Roman"/>
          <w:b/>
          <w:sz w:val="24"/>
          <w:szCs w:val="24"/>
        </w:rPr>
        <w:t>organizar</w:t>
      </w:r>
      <w:r>
        <w:rPr>
          <w:rFonts w:eastAsia="Times New Roman" w:cs="Times New Roman" w:ascii="Times New Roman" w:hAnsi="Times New Roman"/>
          <w:sz w:val="24"/>
          <w:szCs w:val="24"/>
        </w:rPr>
        <w:t xml:space="preserve"> os documentos exigidos neste Edital, obrigatoriamente, no modelo </w:t>
      </w:r>
      <w:r>
        <w:rPr>
          <w:rFonts w:eastAsia="Times New Roman" w:cs="Times New Roman" w:ascii="Times New Roman" w:hAnsi="Times New Roman"/>
          <w:i/>
          <w:sz w:val="24"/>
          <w:szCs w:val="24"/>
        </w:rPr>
        <w:t>Portable Document Format</w:t>
      </w:r>
      <w:r>
        <w:rPr>
          <w:rFonts w:eastAsia="Times New Roman" w:cs="Times New Roman" w:ascii="Times New Roman" w:hAnsi="Times New Roman"/>
          <w:sz w:val="24"/>
          <w:szCs w:val="24"/>
        </w:rPr>
        <w:t xml:space="preserve"> (PDF), os quais deverão estar devidamente legíveis, contendo verso e anverso, quando necessário, e, por fim, enquadrado no documento;</w:t>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5.2. Para inscrever-se, o candidato deverá:</w:t>
      </w:r>
    </w:p>
    <w:p>
      <w:pPr>
        <w:pStyle w:val="Normal"/>
        <w:spacing w:before="0" w:after="240"/>
        <w:ind w:left="7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      Acessar o endereço eletrônico da Defensoria Pública (</w:t>
      </w:r>
      <w:hyperlink r:id="rId2">
        <w:r>
          <w:rPr>
            <w:rFonts w:eastAsia="Times New Roman" w:cs="Times New Roman" w:ascii="Times New Roman" w:hAnsi="Times New Roman"/>
            <w:sz w:val="24"/>
            <w:szCs w:val="24"/>
            <w:highlight w:val="yellow"/>
            <w:u w:val="single"/>
          </w:rPr>
          <w:t>CLIQUE AQUI</w:t>
        </w:r>
      </w:hyperlink>
      <w:r>
        <w:rPr>
          <w:rFonts w:eastAsia="Times New Roman" w:cs="Times New Roman" w:ascii="Times New Roman" w:hAnsi="Times New Roman"/>
          <w:sz w:val="24"/>
          <w:szCs w:val="24"/>
        </w:rPr>
        <w:t xml:space="preserve">) no período de </w:t>
      </w:r>
      <w:r>
        <w:rPr>
          <w:rFonts w:eastAsia="Times New Roman" w:cs="Times New Roman" w:ascii="Times New Roman" w:hAnsi="Times New Roman"/>
          <w:b/>
          <w:sz w:val="24"/>
          <w:szCs w:val="24"/>
        </w:rPr>
        <w:t>13 de julho até às 23h59min do dia 18 de julho de 2022,</w:t>
      </w:r>
      <w:r>
        <w:rPr>
          <w:rFonts w:eastAsia="Times New Roman" w:cs="Times New Roman" w:ascii="Times New Roman" w:hAnsi="Times New Roman"/>
          <w:sz w:val="24"/>
          <w:szCs w:val="24"/>
        </w:rPr>
        <w:t xml:space="preserve"> clicar no botão “Participar” e efetuar o cadastro;</w:t>
      </w:r>
    </w:p>
    <w:p>
      <w:pPr>
        <w:pStyle w:val="Normal"/>
        <w:ind w:left="7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 Anexar, em </w:t>
      </w:r>
      <w:r>
        <w:rPr>
          <w:rFonts w:eastAsia="Times New Roman" w:cs="Times New Roman" w:ascii="Times New Roman" w:hAnsi="Times New Roman"/>
          <w:b/>
          <w:sz w:val="24"/>
          <w:szCs w:val="24"/>
        </w:rPr>
        <w:t xml:space="preserve">FORMATO PDF, </w:t>
      </w:r>
      <w:r>
        <w:rPr>
          <w:rFonts w:eastAsia="Times New Roman" w:cs="Times New Roman" w:ascii="Times New Roman" w:hAnsi="Times New Roman"/>
          <w:sz w:val="24"/>
          <w:szCs w:val="24"/>
        </w:rPr>
        <w:t xml:space="preserve">os seguintes documentos </w:t>
      </w:r>
      <w:r>
        <w:rPr>
          <w:rFonts w:eastAsia="Times New Roman" w:cs="Times New Roman" w:ascii="Times New Roman" w:hAnsi="Times New Roman"/>
          <w:b/>
          <w:sz w:val="24"/>
          <w:szCs w:val="24"/>
        </w:rPr>
        <w:t>LEGÍVEIS</w:t>
      </w:r>
      <w:r>
        <w:rPr>
          <w:rFonts w:eastAsia="Times New Roman" w:cs="Times New Roman" w:ascii="Times New Roman" w:hAnsi="Times New Roman"/>
          <w:sz w:val="24"/>
          <w:szCs w:val="24"/>
        </w:rPr>
        <w:t>:</w:t>
      </w:r>
    </w:p>
    <w:p>
      <w:pPr>
        <w:pStyle w:val="Normal"/>
        <w:spacing w:before="0" w:after="240"/>
        <w:ind w:left="1420" w:hanging="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 xml:space="preserve">b.1 </w:t>
      </w:r>
      <w:r>
        <w:rPr>
          <w:rFonts w:eastAsia="Times New Roman" w:cs="Times New Roman" w:ascii="Times New Roman" w:hAnsi="Times New Roman"/>
          <w:b/>
          <w:color w:val="000000" w:themeColor="text1"/>
          <w:sz w:val="24"/>
          <w:szCs w:val="24"/>
        </w:rPr>
        <w:t>DOCUMENTO DE IDENTIFICAÇÃO</w:t>
      </w:r>
      <w:r>
        <w:rPr>
          <w:rFonts w:eastAsia="Times New Roman" w:cs="Times New Roman" w:ascii="Times New Roman" w:hAnsi="Times New Roman"/>
          <w:color w:val="000000" w:themeColor="text1"/>
          <w:sz w:val="24"/>
          <w:szCs w:val="24"/>
        </w:rPr>
        <w:t xml:space="preserve"> com foto e currículo completo acompanhado dos documentos constantes do</w:t>
      </w:r>
      <w:r>
        <w:rPr>
          <w:rFonts w:eastAsia="Times New Roman" w:cs="Times New Roman" w:ascii="Times New Roman" w:hAnsi="Times New Roman"/>
          <w:b/>
          <w:color w:val="000000" w:themeColor="text1"/>
          <w:sz w:val="24"/>
          <w:szCs w:val="24"/>
        </w:rPr>
        <w:t xml:space="preserve"> item 5.7 do edital</w:t>
      </w:r>
      <w:r>
        <w:rPr>
          <w:rFonts w:eastAsia="Times New Roman" w:cs="Times New Roman" w:ascii="Times New Roman" w:hAnsi="Times New Roman"/>
          <w:color w:val="000000" w:themeColor="text1"/>
          <w:sz w:val="24"/>
          <w:szCs w:val="24"/>
        </w:rPr>
        <w:t xml:space="preserve"> e as comprovações dos títulos constantes do </w:t>
      </w:r>
      <w:r>
        <w:rPr>
          <w:rFonts w:eastAsia="Times New Roman" w:cs="Times New Roman" w:ascii="Times New Roman" w:hAnsi="Times New Roman"/>
          <w:b/>
          <w:color w:val="000000" w:themeColor="text1"/>
          <w:sz w:val="24"/>
          <w:szCs w:val="24"/>
        </w:rPr>
        <w:t>item 5.8 do edital</w:t>
      </w:r>
      <w:r>
        <w:rPr>
          <w:rFonts w:eastAsia="Times New Roman" w:cs="Times New Roman" w:ascii="Times New Roman" w:hAnsi="Times New Roman"/>
          <w:color w:val="000000" w:themeColor="text1"/>
          <w:sz w:val="24"/>
          <w:szCs w:val="24"/>
        </w:rPr>
        <w:t>;</w:t>
      </w:r>
    </w:p>
    <w:p>
      <w:pPr>
        <w:pStyle w:val="Normal"/>
        <w:spacing w:before="0" w:after="240"/>
        <w:ind w:left="709"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Clicar em “</w:t>
      </w:r>
      <w:r>
        <w:rPr>
          <w:rFonts w:eastAsia="Times New Roman" w:cs="Times New Roman" w:ascii="Times New Roman" w:hAnsi="Times New Roman"/>
          <w:b/>
          <w:sz w:val="24"/>
          <w:szCs w:val="24"/>
        </w:rPr>
        <w:t>ENVIAR INSCRIÇÃO</w:t>
      </w:r>
      <w:r>
        <w:rPr>
          <w:rFonts w:eastAsia="Times New Roman" w:cs="Times New Roman" w:ascii="Times New Roman" w:hAnsi="Times New Roman"/>
          <w:sz w:val="24"/>
          <w:szCs w:val="24"/>
        </w:rPr>
        <w:t>” para efetivar a inscrição no seletivo.</w:t>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5.3. Candidatos que se enquadrem na categoria pessoa com deficiência deverão marcar no sistema a opção pela reserva de vaga (e informar a numeração do CID);</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5.4. Qualquer informação falsa ou não comprovada gera a eliminação do candidato no processo seletivo, sem prejuízo das sanções penais cabíveis;</w:t>
      </w:r>
    </w:p>
    <w:p>
      <w:pPr>
        <w:pStyle w:val="Normal"/>
        <w:spacing w:before="0" w:after="24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5.5.         A não inclusão dos documentos relacionados no item 5.6 do edital desclassifica o candidato mesmo que tenha feito sua inscrição no presente processo seletivo;</w:t>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5.6. Após o término do prazo de inscrição, </w:t>
      </w:r>
      <w:r>
        <w:rPr>
          <w:rFonts w:eastAsia="Times New Roman" w:cs="Times New Roman" w:ascii="Times New Roman" w:hAnsi="Times New Roman"/>
          <w:b/>
          <w:sz w:val="24"/>
          <w:szCs w:val="24"/>
        </w:rPr>
        <w:t>não</w:t>
      </w:r>
      <w:r>
        <w:rPr>
          <w:rFonts w:eastAsia="Times New Roman" w:cs="Times New Roman" w:ascii="Times New Roman" w:hAnsi="Times New Roman"/>
          <w:sz w:val="24"/>
          <w:szCs w:val="24"/>
        </w:rPr>
        <w:t xml:space="preserve"> é possível a inclusão de novos documentos;</w:t>
      </w:r>
    </w:p>
    <w:p>
      <w:pPr>
        <w:pStyle w:val="Normal"/>
        <w:jc w:val="both"/>
        <w:rPr>
          <w:rFonts w:ascii="Times New Roman" w:hAnsi="Times New Roman" w:eastAsia="Times New Roman" w:cs="Times New Roman"/>
          <w:color w:val="FF0000"/>
          <w:sz w:val="24"/>
          <w:szCs w:val="24"/>
        </w:rPr>
      </w:pPr>
      <w:r>
        <w:rPr>
          <w:rFonts w:eastAsia="Times New Roman" w:cs="Times New Roman" w:ascii="Times New Roman" w:hAnsi="Times New Roman"/>
          <w:sz w:val="24"/>
          <w:szCs w:val="24"/>
        </w:rPr>
        <w:t xml:space="preserve">5.7. Para instrução, no processo seletivo, os profissionais deverão apresentar os seguintes documentos, ressalvado os diplomas e Certificado de Aprovação no exame de Ordem, cuja apresentação somente será exigida quando da </w:t>
      </w:r>
      <w:r>
        <w:rPr>
          <w:rFonts w:eastAsia="Times New Roman" w:cs="Times New Roman" w:ascii="Times New Roman" w:hAnsi="Times New Roman"/>
          <w:b/>
          <w:sz w:val="24"/>
          <w:szCs w:val="24"/>
        </w:rPr>
        <w:t>CONVOCAÇÃO</w:t>
      </w:r>
      <w:r>
        <w:rPr>
          <w:rFonts w:eastAsia="Times New Roman" w:cs="Times New Roman" w:ascii="Times New Roman" w:hAnsi="Times New Roman"/>
          <w:sz w:val="24"/>
          <w:szCs w:val="24"/>
        </w:rPr>
        <w:t xml:space="preserve"> dos aprovados.</w:t>
      </w:r>
    </w:p>
    <w:p>
      <w:pPr>
        <w:pStyle w:val="Normal"/>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r>
    </w:p>
    <w:tbl>
      <w:tblPr>
        <w:tblW w:w="9172" w:type="dxa"/>
        <w:jc w:val="left"/>
        <w:tblInd w:w="-110" w:type="dxa"/>
        <w:tblLayout w:type="fixed"/>
        <w:tblCellMar>
          <w:top w:w="60" w:type="dxa"/>
          <w:left w:w="40" w:type="dxa"/>
          <w:bottom w:w="60" w:type="dxa"/>
          <w:right w:w="60" w:type="dxa"/>
        </w:tblCellMar>
        <w:tblLook w:firstRow="0" w:noVBand="1" w:lastRow="0" w:firstColumn="0" w:lastColumn="0" w:noHBand="1" w:val="0600"/>
      </w:tblPr>
      <w:tblGrid>
        <w:gridCol w:w="2459"/>
        <w:gridCol w:w="6712"/>
      </w:tblGrid>
      <w:tr>
        <w:trPr>
          <w:trHeight w:val="375" w:hRule="atLeast"/>
        </w:trPr>
        <w:tc>
          <w:tcPr>
            <w:tcW w:w="2459" w:type="dxa"/>
            <w:tcBorders>
              <w:top w:val="single" w:sz="8" w:space="0" w:color="000001"/>
              <w:left w:val="single" w:sz="8" w:space="0" w:color="000001"/>
              <w:bottom w:val="single" w:sz="8" w:space="0" w:color="000001"/>
            </w:tcBorders>
            <w:shd w:color="auto" w:fill="auto" w:val="clear"/>
          </w:tcPr>
          <w:p>
            <w:pPr>
              <w:pStyle w:val="Normal"/>
              <w:widowControl w:val="false"/>
              <w:ind w:left="40"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CARGO</w:t>
            </w:r>
          </w:p>
        </w:tc>
        <w:tc>
          <w:tcPr>
            <w:tcW w:w="6712" w:type="dxa"/>
            <w:tcBorders>
              <w:top w:val="single" w:sz="8" w:space="0" w:color="000001"/>
              <w:left w:val="single" w:sz="8" w:space="0" w:color="000001"/>
              <w:bottom w:val="single" w:sz="8" w:space="0" w:color="000001"/>
              <w:right w:val="single" w:sz="8" w:space="0" w:color="000001"/>
            </w:tcBorders>
            <w:shd w:color="auto" w:fill="auto" w:val="clear"/>
          </w:tcPr>
          <w:p>
            <w:pPr>
              <w:pStyle w:val="Normal"/>
              <w:widowControl w:val="false"/>
              <w:ind w:left="40"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DOCUMENTAÇÃO (cópia)</w:t>
            </w:r>
          </w:p>
        </w:tc>
      </w:tr>
      <w:tr>
        <w:trPr>
          <w:trHeight w:val="3615" w:hRule="atLeast"/>
        </w:trPr>
        <w:tc>
          <w:tcPr>
            <w:tcW w:w="2459" w:type="dxa"/>
            <w:tcBorders>
              <w:left w:val="single" w:sz="8" w:space="0" w:color="000001"/>
              <w:bottom w:val="single" w:sz="8" w:space="0" w:color="000001"/>
            </w:tcBorders>
            <w:shd w:color="auto" w:fill="auto" w:val="clear"/>
          </w:tcPr>
          <w:p>
            <w:pPr>
              <w:pStyle w:val="Normal"/>
              <w:widowControl w:val="false"/>
              <w:ind w:left="4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widowControl w:val="false"/>
              <w:ind w:left="40"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ASSESSOR JURÍDICO</w:t>
            </w:r>
          </w:p>
          <w:p>
            <w:pPr>
              <w:pStyle w:val="Normal"/>
              <w:widowControl w:val="false"/>
              <w:ind w:left="4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widowControl w:val="false"/>
              <w:ind w:left="4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tc>
        <w:tc>
          <w:tcPr>
            <w:tcW w:w="6712" w:type="dxa"/>
            <w:tcBorders>
              <w:left w:val="single" w:sz="8" w:space="0" w:color="000001"/>
              <w:bottom w:val="single" w:sz="8" w:space="0" w:color="000001"/>
              <w:right w:val="single" w:sz="8" w:space="0" w:color="000001"/>
            </w:tcBorders>
            <w:shd w:color="auto" w:fill="auto" w:val="clear"/>
          </w:tcPr>
          <w:p>
            <w:pPr>
              <w:pStyle w:val="Normal"/>
              <w:widowControl w:val="false"/>
              <w:spacing w:before="0" w:after="240"/>
              <w:ind w:left="4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 DOCUMENTO DE IDENTIFICAÇÃO COM FOTO;</w:t>
            </w:r>
          </w:p>
          <w:p>
            <w:pPr>
              <w:pStyle w:val="Normal"/>
              <w:widowControl w:val="false"/>
              <w:spacing w:before="0" w:after="240"/>
              <w:ind w:left="4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B) CURRICULUM VITAE;</w:t>
            </w:r>
          </w:p>
          <w:p>
            <w:pPr>
              <w:pStyle w:val="Normal"/>
              <w:widowControl w:val="false"/>
              <w:spacing w:before="0" w:after="240"/>
              <w:ind w:left="4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 COMPROVAÇÃO DOS TÍTULOS NOS TERMOS DO ITEM 5.8 DO EDITAL;</w:t>
            </w:r>
          </w:p>
          <w:p>
            <w:pPr>
              <w:pStyle w:val="Normal"/>
              <w:widowControl w:val="false"/>
              <w:spacing w:before="0" w:after="240"/>
              <w:ind w:left="4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 Cópia do diploma de conclusão de nível superior ou certidão de conclusão do curso de Direito expedida pela mesma autoridade competente a expedir o diploma. </w:t>
            </w:r>
          </w:p>
          <w:p>
            <w:pPr>
              <w:pStyle w:val="Normal"/>
              <w:widowControl w:val="false"/>
              <w:ind w:left="4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 Certificado de aprovação na OAB. </w:t>
            </w:r>
          </w:p>
        </w:tc>
      </w:tr>
    </w:tbl>
    <w:p>
      <w:pPr>
        <w:pStyle w:val="Normal"/>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 xml:space="preserve"> </w:t>
      </w:r>
    </w:p>
    <w:p>
      <w:pPr>
        <w:pStyle w:val="Normal"/>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5.8. Serão avaliados na análise curricular dos candidatos às vagas </w:t>
      </w:r>
      <w:r>
        <w:rPr>
          <w:rFonts w:eastAsia="Times New Roman" w:cs="Times New Roman" w:ascii="Times New Roman" w:hAnsi="Times New Roman"/>
          <w:b/>
          <w:sz w:val="24"/>
          <w:szCs w:val="24"/>
        </w:rPr>
        <w:t>ASSESSOR JURÍDICO</w:t>
      </w:r>
      <w:r>
        <w:rPr>
          <w:rFonts w:eastAsia="Times New Roman" w:cs="Times New Roman" w:ascii="Times New Roman" w:hAnsi="Times New Roman"/>
          <w:sz w:val="24"/>
          <w:szCs w:val="24"/>
        </w:rPr>
        <w:t xml:space="preserve"> os seguintes títulos com as respectivas pontuações:</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tbl>
      <w:tblPr>
        <w:tblW w:w="9172" w:type="dxa"/>
        <w:jc w:val="left"/>
        <w:tblInd w:w="-110" w:type="dxa"/>
        <w:tblLayout w:type="fixed"/>
        <w:tblCellMar>
          <w:top w:w="100" w:type="dxa"/>
          <w:left w:w="100" w:type="dxa"/>
          <w:bottom w:w="100" w:type="dxa"/>
          <w:right w:w="100" w:type="dxa"/>
        </w:tblCellMar>
        <w:tblLook w:firstRow="0" w:noVBand="1" w:lastRow="0" w:firstColumn="0" w:lastColumn="0" w:noHBand="1" w:val="0600"/>
      </w:tblPr>
      <w:tblGrid>
        <w:gridCol w:w="5176"/>
        <w:gridCol w:w="3995"/>
      </w:tblGrid>
      <w:tr>
        <w:trPr>
          <w:trHeight w:val="485" w:hRule="atLeast"/>
        </w:trPr>
        <w:tc>
          <w:tcPr>
            <w:tcW w:w="51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TÍTULO</w:t>
            </w:r>
          </w:p>
        </w:tc>
        <w:tc>
          <w:tcPr>
            <w:tcW w:w="3995" w:type="dxa"/>
            <w:tcBorders>
              <w:top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PONTUAÇÃO</w:t>
            </w:r>
          </w:p>
        </w:tc>
      </w:tr>
      <w:tr>
        <w:trPr>
          <w:trHeight w:val="848" w:hRule="atLeast"/>
        </w:trPr>
        <w:tc>
          <w:tcPr>
            <w:tcW w:w="5176" w:type="dxa"/>
            <w:tcBorders>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Experiência de Estágio na área Jurídica</w:t>
            </w:r>
          </w:p>
        </w:tc>
        <w:tc>
          <w:tcPr>
            <w:tcW w:w="3995"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(um) ponto a cada ano trabalhado, com limite máximo de 2 (dois) pontos. </w:t>
            </w:r>
          </w:p>
        </w:tc>
      </w:tr>
      <w:tr>
        <w:trPr>
          <w:trHeight w:val="848" w:hRule="atLeast"/>
        </w:trPr>
        <w:tc>
          <w:tcPr>
            <w:tcW w:w="5176" w:type="dxa"/>
            <w:tcBorders>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Experiência de Estágio na Defensoria Pública do Estado do Maranhão (não cumulativo com o item anterior*)</w:t>
            </w:r>
          </w:p>
        </w:tc>
        <w:tc>
          <w:tcPr>
            <w:tcW w:w="3995"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 (dois) pontos a cada ano trabalho, com limite máximo de 4 (quatro) pontos;</w:t>
            </w:r>
          </w:p>
        </w:tc>
      </w:tr>
      <w:tr>
        <w:trPr>
          <w:trHeight w:val="848" w:hRule="atLeast"/>
        </w:trPr>
        <w:tc>
          <w:tcPr>
            <w:tcW w:w="5176" w:type="dxa"/>
            <w:tcBorders>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Experiência profissional na área jurídica;</w:t>
            </w:r>
          </w:p>
        </w:tc>
        <w:tc>
          <w:tcPr>
            <w:tcW w:w="3995"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 (um) ponto a cada ano trabalhado, com limite máximo de 4 (quatro) pontos.</w:t>
            </w:r>
          </w:p>
        </w:tc>
      </w:tr>
      <w:tr>
        <w:trPr>
          <w:trHeight w:val="792" w:hRule="atLeast"/>
        </w:trPr>
        <w:tc>
          <w:tcPr>
            <w:tcW w:w="5176" w:type="dxa"/>
            <w:tcBorders>
              <w:left w:val="single" w:sz="8" w:space="0" w:color="000000"/>
              <w:bottom w:val="single" w:sz="4"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Experiência profissional na Defensoria Pública do Estado do Maranhão (não cumulativo com o item anterior*)</w:t>
            </w:r>
          </w:p>
        </w:tc>
        <w:tc>
          <w:tcPr>
            <w:tcW w:w="3995" w:type="dxa"/>
            <w:tcBorders>
              <w:bottom w:val="single" w:sz="4"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2 (dois) pontos a cada ano trabalhado, com limite máximo de 10 (dez) pontos. </w:t>
            </w:r>
          </w:p>
        </w:tc>
      </w:tr>
    </w:tbl>
    <w:p>
      <w:pPr>
        <w:pStyle w:val="Normal"/>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5.8.1. </w:t>
      </w: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PROFISSINAL</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de órgão ou entidade pública que comprove o exercício e tempo da atividade jurídica, com detalhamento das atividades desempenhadas</w:t>
      </w:r>
      <w:r>
        <w:rPr>
          <w:rFonts w:ascii="Times New Roman" w:hAnsi="Times New Roman"/>
          <w:color w:val="000000" w:themeColor="text1"/>
          <w:sz w:val="24"/>
          <w:szCs w:val="24"/>
        </w:rPr>
        <w:t xml:space="preserve">. </w:t>
      </w:r>
      <w:r>
        <w:rPr>
          <w:rFonts w:ascii="Times New Roman" w:hAnsi="Times New Roman"/>
          <w:color w:val="000000" w:themeColor="text1"/>
          <w:sz w:val="24"/>
          <w:szCs w:val="24"/>
          <w:u w:val="single"/>
        </w:rPr>
        <w:t>Não serão consideradas declarações que não comprovem a duração da atividade desempenhada</w:t>
      </w:r>
      <w:r>
        <w:rPr>
          <w:rFonts w:ascii="Times New Roman" w:hAnsi="Times New Roman"/>
          <w:color w:val="000000" w:themeColor="text1"/>
          <w:sz w:val="24"/>
          <w:szCs w:val="24"/>
        </w:rPr>
        <w:t xml:space="preserve">. No caso de advocacia, o candidato deverá </w:t>
      </w:r>
      <w:r>
        <w:rPr>
          <w:rFonts w:ascii="Times New Roman" w:hAnsi="Times New Roman"/>
          <w:b/>
          <w:bCs/>
          <w:color w:val="000000" w:themeColor="text1"/>
          <w:sz w:val="24"/>
          <w:szCs w:val="24"/>
        </w:rPr>
        <w:t xml:space="preserve">anexar os protocolos de cinco petições em processos </w:t>
      </w:r>
      <w:r>
        <w:rPr>
          <w:rFonts w:ascii="Times New Roman" w:hAnsi="Times New Roman"/>
          <w:b/>
          <w:bCs/>
          <w:color w:val="000000" w:themeColor="text1"/>
          <w:sz w:val="24"/>
          <w:szCs w:val="24"/>
          <w:u w:val="single"/>
        </w:rPr>
        <w:t>distintos</w:t>
      </w:r>
      <w:r>
        <w:rPr>
          <w:rFonts w:ascii="Times New Roman" w:hAnsi="Times New Roman"/>
          <w:b/>
          <w:bCs/>
          <w:color w:val="000000" w:themeColor="text1"/>
          <w:sz w:val="24"/>
          <w:szCs w:val="24"/>
        </w:rPr>
        <w:t xml:space="preserve"> em cada ano.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5.8.2 Para comprovar </w:t>
      </w:r>
      <w:r>
        <w:rPr>
          <w:rFonts w:eastAsia="Times New Roman" w:cs="Times New Roman" w:ascii="Times New Roman" w:hAnsi="Times New Roman"/>
          <w:b/>
          <w:sz w:val="24"/>
          <w:szCs w:val="24"/>
        </w:rPr>
        <w:t>EXPERIÊNCIA DE ESTÁGIO</w:t>
      </w:r>
      <w:r>
        <w:rPr>
          <w:rFonts w:eastAsia="Times New Roman" w:cs="Times New Roman" w:ascii="Times New Roman" w:hAnsi="Times New Roman"/>
          <w:sz w:val="24"/>
          <w:szCs w:val="24"/>
        </w:rPr>
        <w:t xml:space="preserve"> o candidato deverá anexar </w:t>
      </w:r>
      <w:r>
        <w:rPr>
          <w:rFonts w:eastAsia="Times New Roman" w:cs="Times New Roman" w:ascii="Times New Roman" w:hAnsi="Times New Roman"/>
          <w:b/>
          <w:sz w:val="24"/>
          <w:szCs w:val="24"/>
        </w:rPr>
        <w:t>DECLARAÇÃO DO ÓRGÃO</w:t>
      </w:r>
      <w:r>
        <w:rPr>
          <w:rFonts w:eastAsia="Times New Roman" w:cs="Times New Roman" w:ascii="Times New Roman" w:hAnsi="Times New Roman"/>
          <w:sz w:val="24"/>
          <w:szCs w:val="24"/>
        </w:rPr>
        <w:t xml:space="preserve"> que comprove o exercício e o tempo de estágio com detalhamento das funções desempenhadas. Considera-se o período de um ano de estágio o exercício ininterrupto de 12 (doze) meses da atividade.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5.8.2.1 Não serão aceitos termos de estágio como documento comprobatório</w:t>
      </w:r>
      <w:r>
        <w:rPr>
          <w:rFonts w:eastAsia="Times New Roman" w:cs="Times New Roman" w:ascii="Times New Roman" w:hAnsi="Times New Roman"/>
          <w:sz w:val="24"/>
          <w:szCs w:val="24"/>
        </w:rPr>
        <w:t xml:space="preserve">.  </w:t>
      </w:r>
    </w:p>
    <w:p>
      <w:pPr>
        <w:pStyle w:val="Normal"/>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6.</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DA ANÁLISE DE CURRÍCULO E ENTREVISTA COM PROVA ORAL</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6.1. O processo seletivo simplificado dos profissionais será constituído de 02 (duas) etapas: </w:t>
      </w:r>
      <w:r>
        <w:rPr>
          <w:rFonts w:eastAsia="Times New Roman" w:cs="Times New Roman" w:ascii="Times New Roman" w:hAnsi="Times New Roman"/>
          <w:b/>
          <w:sz w:val="24"/>
          <w:szCs w:val="24"/>
        </w:rPr>
        <w:t>ANÁLISE CURRICULAR E ENTREVISTA COM PROVA ORAL</w:t>
      </w:r>
      <w:r>
        <w:rPr>
          <w:rFonts w:eastAsia="Times New Roman" w:cs="Times New Roman" w:ascii="Times New Roman" w:hAnsi="Times New Roman"/>
          <w:sz w:val="24"/>
          <w:szCs w:val="24"/>
        </w:rPr>
        <w:t>, sendo que as duas etapas serão de caráter eliminatório e classificatório.</w:t>
      </w:r>
    </w:p>
    <w:p>
      <w:pPr>
        <w:pStyle w:val="Normal"/>
        <w:spacing w:before="0" w:after="240"/>
        <w:ind w:left="720"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6.2.1 Não serão classificados candidatos que pontuarem 0 na fase da análise curricular.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6.2. O processo seletivo simplificado consistirá em análise de currículo e entrevista individual com prova oral, pela comissão do processo seletivo.</w:t>
      </w:r>
    </w:p>
    <w:p>
      <w:pPr>
        <w:pStyle w:val="Normal"/>
        <w:jc w:val="both"/>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r>
    </w:p>
    <w:tbl>
      <w:tblPr>
        <w:tblW w:w="8715" w:type="dxa"/>
        <w:jc w:val="left"/>
        <w:tblInd w:w="-110" w:type="dxa"/>
        <w:tblLayout w:type="fixed"/>
        <w:tblCellMar>
          <w:top w:w="100" w:type="dxa"/>
          <w:left w:w="80" w:type="dxa"/>
          <w:bottom w:w="100" w:type="dxa"/>
          <w:right w:w="100" w:type="dxa"/>
        </w:tblCellMar>
        <w:tblLook w:firstRow="0" w:noVBand="1" w:lastRow="0" w:firstColumn="0" w:lastColumn="0" w:noHBand="1" w:val="0600"/>
      </w:tblPr>
      <w:tblGrid>
        <w:gridCol w:w="4212"/>
        <w:gridCol w:w="4502"/>
      </w:tblGrid>
      <w:tr>
        <w:trPr>
          <w:trHeight w:val="485" w:hRule="atLeast"/>
        </w:trPr>
        <w:tc>
          <w:tcPr>
            <w:tcW w:w="421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140" w:hanging="0"/>
              <w:jc w:val="center"/>
              <w:rPr>
                <w:rFonts w:ascii="Times New Roman" w:hAnsi="Times New Roman" w:eastAsia="Times New Roman" w:cs="Times New Roman"/>
                <w:b/>
                <w:b/>
                <w:color w:val="000000" w:themeColor="text1"/>
                <w:sz w:val="24"/>
                <w:szCs w:val="24"/>
              </w:rPr>
            </w:pPr>
            <w:r>
              <w:rPr>
                <w:rFonts w:eastAsia="Times New Roman" w:cs="Times New Roman" w:ascii="Times New Roman" w:hAnsi="Times New Roman"/>
                <w:b/>
                <w:color w:val="000000" w:themeColor="text1"/>
                <w:sz w:val="24"/>
                <w:szCs w:val="24"/>
              </w:rPr>
              <w:t>ANÁLISE DO CURRÍCULO</w:t>
            </w:r>
          </w:p>
        </w:tc>
        <w:tc>
          <w:tcPr>
            <w:tcW w:w="4502" w:type="dxa"/>
            <w:tcBorders>
              <w:top w:val="single" w:sz="8" w:space="0" w:color="000000"/>
              <w:bottom w:val="single" w:sz="8" w:space="0" w:color="000000"/>
              <w:right w:val="single" w:sz="8" w:space="0" w:color="000000"/>
            </w:tcBorders>
            <w:shd w:color="auto" w:fill="auto" w:val="clear"/>
          </w:tcPr>
          <w:p>
            <w:pPr>
              <w:pStyle w:val="Normal"/>
              <w:widowControl w:val="false"/>
              <w:ind w:left="140" w:hanging="0"/>
              <w:jc w:val="center"/>
              <w:rPr>
                <w:rFonts w:ascii="Times New Roman" w:hAnsi="Times New Roman" w:eastAsia="Times New Roman" w:cs="Times New Roman"/>
                <w:b/>
                <w:b/>
                <w:color w:val="000000" w:themeColor="text1"/>
                <w:sz w:val="24"/>
                <w:szCs w:val="24"/>
              </w:rPr>
            </w:pPr>
            <w:r>
              <w:rPr>
                <w:rFonts w:eastAsia="Times New Roman" w:cs="Times New Roman" w:ascii="Times New Roman" w:hAnsi="Times New Roman"/>
                <w:b/>
                <w:color w:val="000000" w:themeColor="text1"/>
                <w:sz w:val="24"/>
                <w:szCs w:val="24"/>
              </w:rPr>
              <w:t>ENTREVISTA</w:t>
            </w:r>
          </w:p>
        </w:tc>
      </w:tr>
      <w:tr>
        <w:trPr>
          <w:trHeight w:val="485" w:hRule="atLeast"/>
        </w:trPr>
        <w:tc>
          <w:tcPr>
            <w:tcW w:w="4212" w:type="dxa"/>
            <w:tcBorders>
              <w:left w:val="single" w:sz="8" w:space="0" w:color="000000"/>
              <w:bottom w:val="single" w:sz="8" w:space="0" w:color="000000"/>
              <w:right w:val="single" w:sz="8" w:space="0" w:color="000000"/>
            </w:tcBorders>
            <w:shd w:color="auto" w:fill="auto" w:val="clear"/>
          </w:tcPr>
          <w:p>
            <w:pPr>
              <w:pStyle w:val="Normal"/>
              <w:widowControl w:val="false"/>
              <w:ind w:left="140" w:hanging="0"/>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20 (vinte) pontos</w:t>
            </w:r>
          </w:p>
        </w:tc>
        <w:tc>
          <w:tcPr>
            <w:tcW w:w="4502" w:type="dxa"/>
            <w:tcBorders>
              <w:bottom w:val="single" w:sz="8" w:space="0" w:color="000000"/>
              <w:right w:val="single" w:sz="8" w:space="0" w:color="000000"/>
            </w:tcBorders>
            <w:shd w:color="auto" w:fill="auto" w:val="clear"/>
          </w:tcPr>
          <w:p>
            <w:pPr>
              <w:pStyle w:val="Normal"/>
              <w:widowControl w:val="false"/>
              <w:ind w:left="140" w:hanging="0"/>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80 (oitenta) pontos</w:t>
            </w:r>
          </w:p>
        </w:tc>
      </w:tr>
    </w:tbl>
    <w:p>
      <w:pPr>
        <w:pStyle w:val="Normal"/>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 xml:space="preserve"> </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7. DA FASE DE ENTREVISTA E PROVA ORAL</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7.1. Serão classificados para a fase da entrevista e prova oral: para as vagas de </w:t>
      </w:r>
      <w:r>
        <w:rPr>
          <w:rFonts w:eastAsia="Times New Roman" w:cs="Times New Roman" w:ascii="Times New Roman" w:hAnsi="Times New Roman"/>
          <w:b/>
          <w:sz w:val="24"/>
          <w:szCs w:val="24"/>
        </w:rPr>
        <w:t>ASSESSOR JURÍDICO,</w:t>
      </w:r>
      <w:r>
        <w:rPr>
          <w:rFonts w:eastAsia="Times New Roman" w:cs="Times New Roman" w:ascii="Times New Roman" w:hAnsi="Times New Roman"/>
          <w:sz w:val="24"/>
          <w:szCs w:val="24"/>
        </w:rPr>
        <w:t xml:space="preserve"> os 20 (vinte) melhores candidatos da fase de análise curricular, sendo 12 (doze) candidatos da lista ampla concorrência, 06 (seis) candidatos da lista de cotistas negros e 2 (dois) candidatos da lista PCD.</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7.2.</w:t>
      </w:r>
      <w:r>
        <w:rPr>
          <w:rFonts w:eastAsia="Times New Roman" w:cs="Times New Roman" w:ascii="Times New Roman" w:hAnsi="Times New Roman"/>
          <w:b/>
          <w:sz w:val="24"/>
          <w:szCs w:val="24"/>
          <w:highlight w:val="white"/>
        </w:rPr>
        <w:t xml:space="preserve"> </w:t>
      </w:r>
      <w:r>
        <w:rPr>
          <w:rFonts w:eastAsia="Times New Roman" w:cs="Times New Roman" w:ascii="Times New Roman" w:hAnsi="Times New Roman"/>
          <w:sz w:val="24"/>
          <w:szCs w:val="24"/>
        </w:rPr>
        <w:t xml:space="preserve">Os </w:t>
      </w:r>
      <w:r>
        <w:rPr>
          <w:rFonts w:eastAsia="Times New Roman" w:cs="Times New Roman" w:ascii="Times New Roman" w:hAnsi="Times New Roman"/>
          <w:b/>
          <w:sz w:val="24"/>
          <w:szCs w:val="24"/>
        </w:rPr>
        <w:t xml:space="preserve">CANDIDATOS CONVOCADOS </w:t>
      </w:r>
      <w:r>
        <w:rPr>
          <w:rFonts w:eastAsia="Times New Roman" w:cs="Times New Roman" w:ascii="Times New Roman" w:hAnsi="Times New Roman"/>
          <w:sz w:val="24"/>
          <w:szCs w:val="24"/>
        </w:rPr>
        <w:t xml:space="preserve">receberão informações sobre a realização da entrevista através de edital publicado no site da Defensoria;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7.3. O não comparecimento na entrevista levará a </w:t>
      </w:r>
      <w:r>
        <w:rPr>
          <w:rFonts w:eastAsia="Times New Roman" w:cs="Times New Roman" w:ascii="Times New Roman" w:hAnsi="Times New Roman"/>
          <w:b/>
          <w:sz w:val="24"/>
          <w:szCs w:val="24"/>
        </w:rPr>
        <w:t xml:space="preserve">ELIMINAÇÃO </w:t>
      </w:r>
      <w:r>
        <w:rPr>
          <w:rFonts w:eastAsia="Times New Roman" w:cs="Times New Roman" w:ascii="Times New Roman" w:hAnsi="Times New Roman"/>
          <w:sz w:val="24"/>
          <w:szCs w:val="24"/>
        </w:rPr>
        <w:t>do candidato no seletivo.</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 DOS CRITÉRIOS DE DESEMPATE</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8.1. Ocorrendo empate na </w:t>
      </w:r>
      <w:r>
        <w:rPr>
          <w:rFonts w:eastAsia="Times New Roman" w:cs="Times New Roman" w:ascii="Times New Roman" w:hAnsi="Times New Roman"/>
          <w:b/>
          <w:sz w:val="24"/>
          <w:szCs w:val="24"/>
        </w:rPr>
        <w:t>ANÁLISE CURRICULAR</w:t>
      </w:r>
      <w:r>
        <w:rPr>
          <w:rFonts w:eastAsia="Times New Roman" w:cs="Times New Roman" w:ascii="Times New Roman" w:hAnsi="Times New Roman"/>
          <w:sz w:val="24"/>
          <w:szCs w:val="24"/>
        </w:rPr>
        <w:t>, serão critérios de desempate:</w:t>
      </w:r>
    </w:p>
    <w:p>
      <w:pPr>
        <w:pStyle w:val="Normal"/>
        <w:ind w:left="70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8.1.1 Idade mais avançada;</w:t>
      </w:r>
    </w:p>
    <w:p>
      <w:pPr>
        <w:pStyle w:val="Normal"/>
        <w:ind w:left="70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8.1.2. Experiência profissional na Defensoria Pública;</w:t>
      </w:r>
    </w:p>
    <w:p>
      <w:pPr>
        <w:pStyle w:val="Normal"/>
        <w:ind w:left="70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8.1.3. Experiência de estágio na Defensoria Pública;</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8.2. Ocorrendo empate no </w:t>
      </w:r>
      <w:r>
        <w:rPr>
          <w:rFonts w:eastAsia="Times New Roman" w:cs="Times New Roman" w:ascii="Times New Roman" w:hAnsi="Times New Roman"/>
          <w:b/>
          <w:sz w:val="24"/>
          <w:szCs w:val="24"/>
        </w:rPr>
        <w:t>RESULTADO FINAL</w:t>
      </w:r>
      <w:r>
        <w:rPr>
          <w:rFonts w:eastAsia="Times New Roman" w:cs="Times New Roman" w:ascii="Times New Roman" w:hAnsi="Times New Roman"/>
          <w:sz w:val="24"/>
          <w:szCs w:val="24"/>
        </w:rPr>
        <w:t>, serão critérios de desempate:</w:t>
      </w:r>
    </w:p>
    <w:p>
      <w:pPr>
        <w:pStyle w:val="Normal"/>
        <w:ind w:left="70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8.2.1 Idade mais avançada</w:t>
      </w:r>
    </w:p>
    <w:p>
      <w:pPr>
        <w:pStyle w:val="Normal"/>
        <w:ind w:left="70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8.2.2 Melhor nota na entrevista</w:t>
      </w:r>
    </w:p>
    <w:p>
      <w:pPr>
        <w:pStyle w:val="Normal"/>
        <w:ind w:left="70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8.2.3. Experiência profissional na Defensoria Pública</w:t>
      </w:r>
    </w:p>
    <w:p>
      <w:pPr>
        <w:pStyle w:val="Normal"/>
        <w:ind w:left="70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8.2.4. Experiência de estágio na Defensoria Pública</w:t>
      </w:r>
    </w:p>
    <w:p>
      <w:pPr>
        <w:pStyle w:val="Normal"/>
        <w:ind w:left="70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8.2.5 Melhor nota na análise curricular</w:t>
      </w:r>
    </w:p>
    <w:p>
      <w:pPr>
        <w:pStyle w:val="Normal"/>
        <w:ind w:left="700" w:hanging="0"/>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9.</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DOS RECURSOS</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9.1. Caberá interposição de recursos devidamente fundamentados, perante a Comissão do Processo Seletivo, no </w:t>
      </w:r>
      <w:r>
        <w:rPr>
          <w:rFonts w:eastAsia="Times New Roman" w:cs="Times New Roman" w:ascii="Times New Roman" w:hAnsi="Times New Roman"/>
          <w:b/>
          <w:sz w:val="24"/>
          <w:szCs w:val="24"/>
        </w:rPr>
        <w:t>prazo de 1 (um) dia útil</w:t>
      </w:r>
      <w:r>
        <w:rPr>
          <w:rFonts w:eastAsia="Times New Roman" w:cs="Times New Roman" w:ascii="Times New Roman" w:hAnsi="Times New Roman"/>
          <w:sz w:val="24"/>
          <w:szCs w:val="24"/>
        </w:rPr>
        <w:t>, contados do primeiro dia subsequente à publicação dos resultados referentes a:</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left="5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9.1.1        INSCRIÇÕES INDEFERIDAS;</w:t>
      </w:r>
    </w:p>
    <w:p>
      <w:pPr>
        <w:pStyle w:val="Normal"/>
        <w:ind w:left="5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9.1.2        ANÁLISE CURRICULAR;</w:t>
      </w:r>
    </w:p>
    <w:p>
      <w:pPr>
        <w:pStyle w:val="Normal"/>
        <w:ind w:left="5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9.2. Os recursos deverão ser enviados em formulários online que serão disponibilizados por meio de Edital.</w:t>
      </w:r>
    </w:p>
    <w:p>
      <w:pPr>
        <w:pStyle w:val="Normal"/>
        <w:spacing w:before="0" w:after="240"/>
        <w:ind w:hanging="15"/>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9.3. Não serão aceitos recursos preenchidos por qualquer outra forma, devendo ser digitados e fundamentados em argumentação lógica e consistente;</w:t>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9.4. Recursos não fundamentados ou interpostos fora do prazo serão indeferidos;</w:t>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9.5. Os recursos serão analisados pela Comissão do Seletivo, que deliberará como última instância na esfera administrativa;</w:t>
      </w:r>
    </w:p>
    <w:p>
      <w:pPr>
        <w:pStyle w:val="Normal"/>
        <w:spacing w:before="0" w:after="24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9.6. As respostas aos recursos interpostos serão enviadas aos candidatos por meio do e-mail informado no ato do preenchimento do formulário.</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24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10. CRONOGRAMA DO SELETIVO</w:t>
      </w:r>
    </w:p>
    <w:p>
      <w:pPr>
        <w:pStyle w:val="Normal"/>
        <w:spacing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10.1 As etapas do seletivo obedecerão ao seguinte </w:t>
      </w:r>
      <w:r>
        <w:rPr>
          <w:rFonts w:eastAsia="Times New Roman" w:cs="Times New Roman" w:ascii="Times New Roman" w:hAnsi="Times New Roman"/>
          <w:b/>
          <w:sz w:val="24"/>
          <w:szCs w:val="24"/>
        </w:rPr>
        <w:t>CRONOGRAMA</w:t>
      </w:r>
      <w:r>
        <w:rPr>
          <w:rFonts w:eastAsia="Times New Roman" w:cs="Times New Roman" w:ascii="Times New Roman" w:hAnsi="Times New Roman"/>
          <w:sz w:val="24"/>
          <w:szCs w:val="24"/>
        </w:rPr>
        <w:t>:</w:t>
      </w:r>
    </w:p>
    <w:tbl>
      <w:tblPr>
        <w:tblW w:w="8850" w:type="dxa"/>
        <w:jc w:val="left"/>
        <w:tblInd w:w="-110" w:type="dxa"/>
        <w:tblLayout w:type="fixed"/>
        <w:tblCellMar>
          <w:top w:w="100" w:type="dxa"/>
          <w:left w:w="100" w:type="dxa"/>
          <w:bottom w:w="100" w:type="dxa"/>
          <w:right w:w="100" w:type="dxa"/>
        </w:tblCellMar>
        <w:tblLook w:firstRow="0" w:noVBand="1" w:lastRow="0" w:firstColumn="0" w:lastColumn="0" w:noHBand="1" w:val="0600"/>
      </w:tblPr>
      <w:tblGrid>
        <w:gridCol w:w="4425"/>
        <w:gridCol w:w="4424"/>
      </w:tblGrid>
      <w:tr>
        <w:trPr>
          <w:trHeight w:val="485" w:hRule="atLeast"/>
        </w:trPr>
        <w:tc>
          <w:tcPr>
            <w:tcW w:w="442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b/>
                <w:b/>
                <w:color w:val="000000" w:themeColor="text1"/>
                <w:sz w:val="24"/>
                <w:szCs w:val="24"/>
              </w:rPr>
            </w:pPr>
            <w:r>
              <w:rPr>
                <w:rFonts w:eastAsia="Times New Roman" w:cs="Times New Roman" w:ascii="Times New Roman" w:hAnsi="Times New Roman"/>
                <w:b/>
                <w:color w:val="000000" w:themeColor="text1"/>
                <w:sz w:val="24"/>
                <w:szCs w:val="24"/>
              </w:rPr>
              <w:t>ETAPAS</w:t>
            </w:r>
          </w:p>
        </w:tc>
        <w:tc>
          <w:tcPr>
            <w:tcW w:w="4424" w:type="dxa"/>
            <w:tcBorders>
              <w:top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b/>
                <w:b/>
                <w:color w:val="000000" w:themeColor="text1"/>
                <w:sz w:val="24"/>
                <w:szCs w:val="24"/>
              </w:rPr>
            </w:pPr>
            <w:r>
              <w:rPr>
                <w:rFonts w:eastAsia="Times New Roman" w:cs="Times New Roman" w:ascii="Times New Roman" w:hAnsi="Times New Roman"/>
                <w:b/>
                <w:color w:val="000000" w:themeColor="text1"/>
                <w:sz w:val="24"/>
                <w:szCs w:val="24"/>
              </w:rPr>
              <w:t>PERÍODO</w:t>
            </w:r>
          </w:p>
        </w:tc>
      </w:tr>
      <w:tr>
        <w:trPr>
          <w:trHeight w:val="75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Inscrições</w:t>
            </w:r>
          </w:p>
        </w:tc>
        <w:tc>
          <w:tcPr>
            <w:tcW w:w="4424"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Das 8h de 13/07/2022 até as 23h59min de 18/07/2022;</w:t>
            </w:r>
          </w:p>
        </w:tc>
      </w:tr>
      <w:tr>
        <w:trPr>
          <w:trHeight w:val="48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Divulgação das inscrições deferidas</w:t>
            </w:r>
          </w:p>
        </w:tc>
        <w:tc>
          <w:tcPr>
            <w:tcW w:w="4424"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20/07/2022</w:t>
            </w:r>
          </w:p>
        </w:tc>
      </w:tr>
      <w:tr>
        <w:trPr>
          <w:trHeight w:val="75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Abertura de prazo para interposição de recurso em face das inscrições indeferidas</w:t>
            </w:r>
          </w:p>
        </w:tc>
        <w:tc>
          <w:tcPr>
            <w:tcW w:w="4424"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21/07/2022</w:t>
            </w:r>
          </w:p>
        </w:tc>
      </w:tr>
      <w:tr>
        <w:trPr>
          <w:trHeight w:val="102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Divulgação do julgamento dos recursos, homologação das inscrições e divulgação do resultado da análise curricular</w:t>
            </w:r>
          </w:p>
        </w:tc>
        <w:tc>
          <w:tcPr>
            <w:tcW w:w="4424"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26/07/2022</w:t>
            </w:r>
          </w:p>
        </w:tc>
      </w:tr>
      <w:tr>
        <w:trPr>
          <w:trHeight w:val="75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Abertura de prazo para interposição de recurso em face da análise curricular</w:t>
            </w:r>
          </w:p>
        </w:tc>
        <w:tc>
          <w:tcPr>
            <w:tcW w:w="4424"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27/07/2022</w:t>
            </w:r>
          </w:p>
        </w:tc>
      </w:tr>
      <w:tr>
        <w:trPr>
          <w:trHeight w:val="75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Divulgação do julgamento dos recursos e convocação para entrevistas</w:t>
            </w:r>
          </w:p>
        </w:tc>
        <w:tc>
          <w:tcPr>
            <w:tcW w:w="4424"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29/07/2022</w:t>
            </w:r>
          </w:p>
        </w:tc>
      </w:tr>
      <w:tr>
        <w:trPr>
          <w:trHeight w:val="216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Entrevista individual com a Comissão de Seleção</w:t>
            </w:r>
          </w:p>
        </w:tc>
        <w:tc>
          <w:tcPr>
            <w:tcW w:w="4424" w:type="dxa"/>
            <w:tcBorders>
              <w:bottom w:val="single" w:sz="8" w:space="0" w:color="000000"/>
              <w:right w:val="single" w:sz="8" w:space="0" w:color="000000"/>
            </w:tcBorders>
            <w:shd w:color="auto" w:fill="auto" w:val="clear"/>
          </w:tcPr>
          <w:p>
            <w:pPr>
              <w:pStyle w:val="Normal"/>
              <w:widowControl w:val="false"/>
              <w:ind w:left="760" w:hanging="140"/>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widowControl w:val="false"/>
              <w:ind w:left="760" w:hanging="140"/>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A DEFINIR</w:t>
            </w:r>
          </w:p>
          <w:p>
            <w:pPr>
              <w:pStyle w:val="Normal"/>
              <w:widowControl w:val="false"/>
              <w:ind w:left="760" w:hanging="140"/>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widowControl w:val="false"/>
              <w:ind w:left="760" w:hanging="140"/>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tc>
      </w:tr>
      <w:tr>
        <w:trPr>
          <w:trHeight w:val="48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Divulgação do resultado final</w:t>
            </w:r>
          </w:p>
        </w:tc>
        <w:tc>
          <w:tcPr>
            <w:tcW w:w="4424"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A DEFINIR</w:t>
            </w:r>
          </w:p>
        </w:tc>
      </w:tr>
    </w:tbl>
    <w:p>
      <w:pPr>
        <w:pStyle w:val="Normal"/>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 xml:space="preserve">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10.2 Os candidatos aprovados terão seus resultados publicados no Diário Oficial do Estado do Maranhão e no site da Defensoria Pública do Estado do Maranhão (</w:t>
      </w:r>
      <w:hyperlink r:id="rId3">
        <w:r>
          <w:rPr>
            <w:rFonts w:eastAsia="Times New Roman" w:cs="Times New Roman" w:ascii="Times New Roman" w:hAnsi="Times New Roman"/>
            <w:sz w:val="24"/>
            <w:szCs w:val="24"/>
            <w:u w:val="single"/>
          </w:rPr>
          <w:t>http://defensoria.ma.def.br/seletivo</w:t>
        </w:r>
      </w:hyperlink>
      <w:r>
        <w:rPr>
          <w:rFonts w:eastAsia="Times New Roman" w:cs="Times New Roman" w:ascii="Times New Roman" w:hAnsi="Times New Roman"/>
          <w:sz w:val="24"/>
          <w:szCs w:val="24"/>
        </w:rPr>
        <w:t>).</w:t>
      </w:r>
    </w:p>
    <w:p>
      <w:pPr>
        <w:pStyle w:val="Normal"/>
        <w:jc w:val="both"/>
        <w:rPr>
          <w:rFonts w:ascii="Times New Roman" w:hAnsi="Times New Roman" w:eastAsia="Times New Roman" w:cs="Times New Roman"/>
          <w:color w:val="FF0000"/>
          <w:sz w:val="24"/>
          <w:szCs w:val="24"/>
        </w:rPr>
      </w:pPr>
      <w:r>
        <w:rPr>
          <w:rFonts w:eastAsia="Times New Roman" w:cs="Times New Roman" w:ascii="Times New Roman" w:hAnsi="Times New Roman"/>
          <w:sz w:val="24"/>
          <w:szCs w:val="24"/>
        </w:rPr>
        <w:t>10.3 Os candidatos classificados além do número de vagas formarão cadastro de reserva e poderão, no decorrer da vigência do projeto Carreta dos Direitos, ser convocados no caso de ocorrer vacância de cargo.</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10.4 É de inteira responsabilidade do candidato, acompanhar os atos, editais e comunicados referentes a esta seleção que sejam publicados no Diário Oficial do Estado do Maranhão e no site da Defensoria Pública do Estado do Maranhão (</w:t>
      </w:r>
      <w:hyperlink r:id="rId4">
        <w:r>
          <w:rPr>
            <w:rFonts w:eastAsia="Times New Roman" w:cs="Times New Roman" w:ascii="Times New Roman" w:hAnsi="Times New Roman"/>
            <w:b/>
            <w:sz w:val="24"/>
            <w:szCs w:val="24"/>
            <w:u w:val="single"/>
          </w:rPr>
          <w:t>http://defensoria.ma.def.br/seletivo</w:t>
        </w:r>
      </w:hyperlink>
      <w:r>
        <w:rPr>
          <w:rFonts w:eastAsia="Times New Roman" w:cs="Times New Roman" w:ascii="Times New Roman" w:hAnsi="Times New Roman"/>
          <w:b/>
          <w:sz w:val="24"/>
          <w:szCs w:val="24"/>
        </w:rPr>
        <w:t>).</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11. DA CARGA HORÁRIA</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11.1. O </w:t>
      </w:r>
      <w:r>
        <w:rPr>
          <w:rFonts w:eastAsia="Times New Roman" w:cs="Times New Roman" w:ascii="Times New Roman" w:hAnsi="Times New Roman"/>
          <w:b/>
          <w:sz w:val="24"/>
          <w:szCs w:val="24"/>
        </w:rPr>
        <w:t>ASSESSOR JURÍDICO</w:t>
      </w:r>
      <w:r>
        <w:rPr>
          <w:rFonts w:eastAsia="Times New Roman" w:cs="Times New Roman" w:ascii="Times New Roman" w:hAnsi="Times New Roman"/>
          <w:sz w:val="24"/>
          <w:szCs w:val="24"/>
        </w:rPr>
        <w:t xml:space="preserve"> cumprirá a carga horária de 08 (oito) horas diárias, totalizando 40 (quarenta) horas semanais, de segunda a sexta-feira, no horário do funcionamento desta Instituição, conforme cronograma previsto no projeto.</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11.2. Os valores referentes às diárias devidas em função do deslocamento para atendimento em outras cidades estão abrangidos pela remuneração indicada no quadro 2.1, conforme determinação do Termo de Convênio celebrado;</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11.3. Os profissionais serão supervisionados pela Diretoria de Assuntos Institucionais e Estratégicos da Defensoria Pública do Estado do Maranhão.</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12.</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DA CONTRATAÇÃO</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 xml:space="preserve">12.1. Os candidatos selecionados serão contratados por ordem de classificação, de acordo com o número de vagas e necessidades do </w:t>
      </w:r>
      <w:r>
        <w:rPr>
          <w:rFonts w:eastAsia="Times New Roman" w:cs="Times New Roman" w:ascii="Times New Roman" w:hAnsi="Times New Roman"/>
          <w:b/>
          <w:sz w:val="24"/>
          <w:szCs w:val="24"/>
        </w:rPr>
        <w:t>PROJETO CARRETA DE DIREITOS</w:t>
      </w:r>
      <w:r>
        <w:rPr>
          <w:rFonts w:eastAsia="Times New Roman" w:cs="Times New Roman" w:ascii="Times New Roman" w:hAnsi="Times New Roman"/>
          <w:sz w:val="24"/>
          <w:szCs w:val="24"/>
        </w:rPr>
        <w:t>;</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12.2. O candidato deverá manter atualizado o seu endereço e telefones junto a Coordenação do Projeto, enquanto estiver participando da seleção e mesmo após ter sido aprovado. Serão de exclusiva responsabilidade do candidato os prejuízos advindos da não atualização de seus dados;</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12.3. Para </w:t>
      </w:r>
      <w:r>
        <w:rPr>
          <w:rFonts w:eastAsia="Times New Roman" w:cs="Times New Roman" w:ascii="Times New Roman" w:hAnsi="Times New Roman"/>
          <w:b/>
          <w:sz w:val="24"/>
          <w:szCs w:val="24"/>
        </w:rPr>
        <w:t>CONTRATAÇÃO</w:t>
      </w:r>
      <w:r>
        <w:rPr>
          <w:rFonts w:eastAsia="Times New Roman" w:cs="Times New Roman" w:ascii="Times New Roman" w:hAnsi="Times New Roman"/>
          <w:sz w:val="24"/>
          <w:szCs w:val="24"/>
        </w:rPr>
        <w:t xml:space="preserve">, o candidato deverá </w:t>
      </w:r>
      <w:r>
        <w:rPr>
          <w:rFonts w:eastAsia="Times New Roman" w:cs="Times New Roman" w:ascii="Times New Roman" w:hAnsi="Times New Roman"/>
          <w:b/>
          <w:sz w:val="24"/>
          <w:szCs w:val="24"/>
        </w:rPr>
        <w:t xml:space="preserve">OBRIGATORIAMENTE </w:t>
      </w:r>
      <w:r>
        <w:rPr>
          <w:rFonts w:eastAsia="Times New Roman" w:cs="Times New Roman" w:ascii="Times New Roman" w:hAnsi="Times New Roman"/>
          <w:sz w:val="24"/>
          <w:szCs w:val="24"/>
        </w:rPr>
        <w:t xml:space="preserve">apresentar </w:t>
      </w:r>
      <w:r>
        <w:rPr>
          <w:rFonts w:eastAsia="Times New Roman" w:cs="Times New Roman" w:ascii="Times New Roman" w:hAnsi="Times New Roman"/>
          <w:b/>
          <w:sz w:val="24"/>
          <w:szCs w:val="24"/>
        </w:rPr>
        <w:t xml:space="preserve">DIPLOMA </w:t>
      </w:r>
      <w:r>
        <w:rPr>
          <w:rFonts w:eastAsia="Times New Roman" w:cs="Times New Roman" w:ascii="Times New Roman" w:hAnsi="Times New Roman"/>
          <w:sz w:val="24"/>
          <w:szCs w:val="24"/>
        </w:rPr>
        <w:t xml:space="preserve">na área da vaga concorrida, bem como </w:t>
      </w:r>
      <w:r>
        <w:rPr>
          <w:rFonts w:eastAsia="Times New Roman" w:cs="Times New Roman" w:ascii="Times New Roman" w:hAnsi="Times New Roman"/>
          <w:b/>
          <w:sz w:val="24"/>
          <w:szCs w:val="24"/>
        </w:rPr>
        <w:t xml:space="preserve">CERTIDÃO DE APROVAÇÃO NA OAB. </w:t>
      </w:r>
      <w:r>
        <w:rPr>
          <w:rFonts w:eastAsia="Times New Roman" w:cs="Times New Roman" w:ascii="Times New Roman" w:hAnsi="Times New Roman"/>
          <w:sz w:val="24"/>
          <w:szCs w:val="24"/>
        </w:rPr>
        <w:t xml:space="preserve">A não apresentação desses documentos quando da </w:t>
      </w:r>
      <w:r>
        <w:rPr>
          <w:rFonts w:eastAsia="Times New Roman" w:cs="Times New Roman" w:ascii="Times New Roman" w:hAnsi="Times New Roman"/>
          <w:b/>
          <w:sz w:val="24"/>
          <w:szCs w:val="24"/>
        </w:rPr>
        <w:t>CONVOCAÇÃO, implicará</w:t>
      </w:r>
      <w:r>
        <w:rPr>
          <w:rFonts w:eastAsia="Times New Roman" w:cs="Times New Roman" w:ascii="Times New Roman" w:hAnsi="Times New Roman"/>
          <w:sz w:val="24"/>
          <w:szCs w:val="24"/>
        </w:rPr>
        <w:t xml:space="preserve"> na impossibilidade de </w:t>
      </w:r>
      <w:r>
        <w:rPr>
          <w:rFonts w:eastAsia="Times New Roman" w:cs="Times New Roman" w:ascii="Times New Roman" w:hAnsi="Times New Roman"/>
          <w:b/>
          <w:sz w:val="24"/>
          <w:szCs w:val="24"/>
        </w:rPr>
        <w:t xml:space="preserve">CONTRATAÇÃO </w:t>
      </w:r>
      <w:r>
        <w:rPr>
          <w:rFonts w:eastAsia="Times New Roman" w:cs="Times New Roman" w:ascii="Times New Roman" w:hAnsi="Times New Roman"/>
          <w:sz w:val="24"/>
          <w:szCs w:val="24"/>
        </w:rPr>
        <w:t>do candidato.</w:t>
      </w:r>
    </w:p>
    <w:p>
      <w:pPr>
        <w:pStyle w:val="Normal"/>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13.</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DO PRAZO DE VALIDADE</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13.1. O prazo de validade do processo seletivo será de 1 (um) ano a contar da publicação do resultado final, podendo ser prorrogado por mais 1 (um) ano.</w:t>
      </w:r>
    </w:p>
    <w:p>
      <w:pPr>
        <w:pStyle w:val="Normal"/>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14.</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DISPOSIÇÕES FINAIS</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14.1. A inscrição do candidato implicará a aceitação prévia das normas contidas no presente Edital.</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14.2. Os casos omissos e as dúvidas de interpretação das normas reguladoras do certame, porventura suscitados, deverão ser encaminhados, por escrito, ao e-mail </w:t>
      </w:r>
      <w:hyperlink r:id="rId5">
        <w:r>
          <w:rPr>
            <w:rStyle w:val="LinkdaInternet"/>
            <w:rFonts w:eastAsia="Times New Roman" w:cs="Times New Roman" w:ascii="Times New Roman" w:hAnsi="Times New Roman"/>
            <w:b/>
            <w:color w:val="auto"/>
            <w:sz w:val="24"/>
            <w:szCs w:val="24"/>
          </w:rPr>
          <w:t>diretoriaas.estrategicos@ma.def.br</w:t>
        </w:r>
      </w:hyperlink>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no prazo de 02 (dois) dias úteis, a contar da publicação deste Edital.</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14.3. Caberá à Primeira Subdefensoria Pública-Geral do Estado, a homologação do resultado do processo seletivo, após a finalização de suas fases.</w:t>
      </w:r>
    </w:p>
    <w:p>
      <w:pPr>
        <w:pStyle w:val="Normal"/>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São Luís (MA), 12</w:t>
      </w:r>
      <w:bookmarkStart w:id="0" w:name="_GoBack"/>
      <w:bookmarkEnd w:id="0"/>
      <w:r>
        <w:rPr>
          <w:rFonts w:eastAsia="Times New Roman" w:cs="Times New Roman" w:ascii="Times New Roman" w:hAnsi="Times New Roman"/>
          <w:sz w:val="24"/>
          <w:szCs w:val="24"/>
        </w:rPr>
        <w:t xml:space="preserve"> de julho de 2022.</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CRISTIANE MARQUES MENDES</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Subdefensora Pública-Geral do Estado do Maranhão</w:t>
      </w:r>
    </w:p>
    <w:p>
      <w:pPr>
        <w:pStyle w:val="Normal"/>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 xml:space="preserve"> </w:t>
      </w:r>
    </w:p>
    <w:p>
      <w:pPr>
        <w:pStyle w:val="Normal"/>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 xml:space="preserve"> </w:t>
      </w:r>
    </w:p>
    <w:p>
      <w:pPr>
        <w:pStyle w:val="Normal"/>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r>
      <w:r>
        <w:br w:type="page"/>
      </w:r>
    </w:p>
    <w:p>
      <w:pPr>
        <w:pStyle w:val="Normal"/>
        <w:jc w:val="center"/>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r>
    </w:p>
    <w:p>
      <w:pPr>
        <w:pStyle w:val="Normal"/>
        <w:jc w:val="center"/>
        <w:rPr>
          <w:rFonts w:ascii="Times New Roman" w:hAnsi="Times New Roman" w:eastAsia="Times New Roman" w:cs="Times New Roman"/>
          <w:b/>
          <w:b/>
          <w:color w:val="000000" w:themeColor="text1"/>
          <w:sz w:val="24"/>
          <w:szCs w:val="24"/>
        </w:rPr>
      </w:pPr>
      <w:bookmarkStart w:id="1" w:name="_bxvjiij45ev5"/>
      <w:bookmarkEnd w:id="1"/>
      <w:r>
        <w:rPr>
          <w:rFonts w:eastAsia="Times New Roman" w:cs="Times New Roman" w:ascii="Times New Roman" w:hAnsi="Times New Roman"/>
          <w:b/>
          <w:color w:val="000000" w:themeColor="text1"/>
          <w:sz w:val="24"/>
          <w:szCs w:val="24"/>
        </w:rPr>
        <w:t>ANEXO ÚNICO</w:t>
      </w:r>
    </w:p>
    <w:p>
      <w:pPr>
        <w:pStyle w:val="Normal"/>
        <w:ind w:firstLine="280"/>
        <w:jc w:val="center"/>
        <w:rPr>
          <w:rFonts w:ascii="Times New Roman" w:hAnsi="Times New Roman" w:eastAsia="Times New Roman" w:cs="Times New Roman"/>
          <w:b/>
          <w:b/>
          <w:color w:val="000000" w:themeColor="text1"/>
          <w:sz w:val="24"/>
          <w:szCs w:val="24"/>
        </w:rPr>
      </w:pPr>
      <w:r>
        <w:rPr>
          <w:rFonts w:eastAsia="Times New Roman" w:cs="Times New Roman" w:ascii="Times New Roman" w:hAnsi="Times New Roman"/>
          <w:b/>
          <w:color w:val="000000" w:themeColor="text1"/>
          <w:sz w:val="24"/>
          <w:szCs w:val="24"/>
        </w:rPr>
        <w:t>CONTEÚDO PROGRAMÁTICO</w:t>
      </w:r>
    </w:p>
    <w:p>
      <w:pPr>
        <w:pStyle w:val="Ttulo1"/>
        <w:keepNext w:val="false"/>
        <w:keepLines w:val="false"/>
        <w:spacing w:before="0" w:after="0"/>
        <w:ind w:left="28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bookmarkStart w:id="2" w:name="_6rcoaye0y5ef"/>
      <w:bookmarkStart w:id="3" w:name="_6rcoaye0y5ef"/>
      <w:bookmarkEnd w:id="3"/>
    </w:p>
    <w:tbl>
      <w:tblPr>
        <w:tblStyle w:val="Tabelacomgrade"/>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uppressAutoHyphens w:val="true"/>
              <w:spacing w:before="0" w:after="0"/>
              <w:ind w:firstLine="29"/>
              <w:jc w:val="both"/>
              <w:rPr>
                <w:rFonts w:ascii="Times New Roman" w:hAnsi="Times New Roman" w:eastAsia="Times New Roman" w:cs="Times New Roman"/>
                <w:sz w:val="24"/>
                <w:szCs w:val="24"/>
              </w:rPr>
            </w:pPr>
            <w:r>
              <w:rPr>
                <w:rFonts w:eastAsia="Times New Roman" w:cs="Times New Roman" w:ascii="Times New Roman" w:hAnsi="Times New Roman"/>
                <w:b/>
                <w:kern w:val="0"/>
                <w:sz w:val="24"/>
                <w:szCs w:val="24"/>
                <w:lang w:val="pt-BR" w:eastAsia="pt-BR" w:bidi="ar-SA"/>
              </w:rPr>
              <w:t>DIREITO CONSTITUCIONAL E PRINCÍPIOS INSTITUCIONAIS DA DEFENSORIA PÚBLICA 1.</w:t>
            </w:r>
            <w:r>
              <w:rPr>
                <w:rFonts w:eastAsia="Times New Roman" w:cs="Times New Roman" w:ascii="Times New Roman" w:hAnsi="Times New Roman"/>
                <w:kern w:val="0"/>
                <w:sz w:val="24"/>
                <w:szCs w:val="24"/>
                <w:lang w:val="pt-BR" w:eastAsia="pt-BR" w:bidi="ar-SA"/>
              </w:rPr>
              <w:t xml:space="preserve"> </w:t>
            </w:r>
            <w:r>
              <w:rPr>
                <w:rFonts w:eastAsia="Times New Roman" w:cs="Times New Roman" w:ascii="Times New Roman" w:hAnsi="Times New Roman"/>
                <w:b/>
                <w:kern w:val="0"/>
                <w:sz w:val="24"/>
                <w:szCs w:val="24"/>
                <w:lang w:val="pt-BR" w:eastAsia="pt-BR" w:bidi="ar-SA"/>
              </w:rPr>
              <w:t>Constituição da República Federativa do Brasil de 1988.</w:t>
            </w:r>
            <w:r>
              <w:rPr>
                <w:rFonts w:eastAsia="Times New Roman" w:cs="Times New Roman" w:ascii="Times New Roman" w:hAnsi="Times New Roman"/>
                <w:kern w:val="0"/>
                <w:sz w:val="24"/>
                <w:szCs w:val="24"/>
                <w:lang w:val="pt-BR" w:eastAsia="pt-BR" w:bidi="ar-SA"/>
              </w:rPr>
              <w:t xml:space="preserve"> Princípios fundamentais. Aplicabilidade das normas constitucionais: normas de eficácia plena, contida e limitada. Normas programáticas. </w:t>
            </w:r>
            <w:bookmarkStart w:id="4" w:name="_ui5qwbkisz6u"/>
            <w:bookmarkEnd w:id="4"/>
            <w:r>
              <w:rPr>
                <w:rFonts w:eastAsia="Times New Roman" w:cs="Times New Roman" w:ascii="Times New Roman" w:hAnsi="Times New Roman"/>
                <w:b/>
                <w:kern w:val="0"/>
                <w:sz w:val="24"/>
                <w:szCs w:val="24"/>
                <w:lang w:val="pt-BR" w:eastAsia="pt-BR" w:bidi="ar-SA"/>
              </w:rPr>
              <w:t>2.</w:t>
            </w:r>
            <w:r>
              <w:rPr>
                <w:rFonts w:eastAsia="Times New Roman" w:cs="Times New Roman" w:ascii="Times New Roman" w:hAnsi="Times New Roman"/>
                <w:kern w:val="0"/>
                <w:sz w:val="24"/>
                <w:szCs w:val="24"/>
                <w:lang w:val="pt-BR" w:eastAsia="pt-BR" w:bidi="ar-SA"/>
              </w:rPr>
              <w:t xml:space="preserve"> </w:t>
            </w:r>
            <w:r>
              <w:rPr>
                <w:rFonts w:eastAsia="Times New Roman" w:cs="Times New Roman" w:ascii="Times New Roman" w:hAnsi="Times New Roman"/>
                <w:b/>
                <w:kern w:val="0"/>
                <w:sz w:val="24"/>
                <w:szCs w:val="24"/>
                <w:lang w:val="pt-BR" w:eastAsia="pt-BR" w:bidi="ar-SA"/>
              </w:rPr>
              <w:t xml:space="preserve">Direitos e garantias fundamentais. </w:t>
            </w:r>
            <w:r>
              <w:rPr>
                <w:rFonts w:eastAsia="Times New Roman" w:cs="Times New Roman" w:ascii="Times New Roman" w:hAnsi="Times New Roman"/>
                <w:kern w:val="0"/>
                <w:sz w:val="24"/>
                <w:szCs w:val="24"/>
                <w:lang w:val="pt-BR" w:eastAsia="pt-BR" w:bidi="ar-SA"/>
              </w:rPr>
              <w:t xml:space="preserve">Direitos e deveres individuais e coletivos. Direitos sociais. </w:t>
            </w:r>
            <w:bookmarkStart w:id="5" w:name="_osm8q26nz0rc"/>
            <w:bookmarkEnd w:id="5"/>
            <w:r>
              <w:rPr>
                <w:rFonts w:eastAsia="Times New Roman" w:cs="Times New Roman" w:ascii="Times New Roman" w:hAnsi="Times New Roman"/>
                <w:b/>
                <w:kern w:val="0"/>
                <w:sz w:val="24"/>
                <w:szCs w:val="24"/>
                <w:lang w:val="pt-BR" w:eastAsia="pt-BR" w:bidi="ar-SA"/>
              </w:rPr>
              <w:t>3.</w:t>
            </w:r>
            <w:r>
              <w:rPr>
                <w:rFonts w:eastAsia="Times New Roman" w:cs="Times New Roman" w:ascii="Times New Roman" w:hAnsi="Times New Roman"/>
                <w:kern w:val="0"/>
                <w:sz w:val="24"/>
                <w:szCs w:val="24"/>
                <w:lang w:val="pt-BR" w:eastAsia="pt-BR" w:bidi="ar-SA"/>
              </w:rPr>
              <w:t xml:space="preserve"> </w:t>
            </w:r>
            <w:r>
              <w:rPr>
                <w:rFonts w:eastAsia="Times New Roman" w:cs="Times New Roman" w:ascii="Times New Roman" w:hAnsi="Times New Roman"/>
                <w:b/>
                <w:kern w:val="0"/>
                <w:sz w:val="24"/>
                <w:szCs w:val="24"/>
                <w:lang w:val="pt-BR" w:eastAsia="pt-BR" w:bidi="ar-SA"/>
              </w:rPr>
              <w:t xml:space="preserve">Poder Judiciário. </w:t>
            </w:r>
            <w:r>
              <w:rPr>
                <w:rFonts w:eastAsia="Times New Roman" w:cs="Times New Roman" w:ascii="Times New Roman" w:hAnsi="Times New Roman"/>
                <w:kern w:val="0"/>
                <w:sz w:val="24"/>
                <w:szCs w:val="24"/>
                <w:lang w:val="pt-BR" w:eastAsia="pt-BR" w:bidi="ar-SA"/>
              </w:rPr>
              <w:t xml:space="preserve">Disposições gerais. Órgãos do Poder Judiciário: organização e competências. </w:t>
            </w:r>
            <w:bookmarkStart w:id="6" w:name="_nklcikpizitu"/>
            <w:bookmarkEnd w:id="6"/>
            <w:r>
              <w:rPr>
                <w:rFonts w:eastAsia="Times New Roman" w:cs="Times New Roman" w:ascii="Times New Roman" w:hAnsi="Times New Roman"/>
                <w:b/>
                <w:kern w:val="0"/>
                <w:sz w:val="24"/>
                <w:szCs w:val="24"/>
                <w:lang w:val="pt-BR" w:eastAsia="pt-BR" w:bidi="ar-SA"/>
              </w:rPr>
              <w:t>4.</w:t>
            </w:r>
            <w:r>
              <w:rPr>
                <w:rFonts w:eastAsia="Times New Roman" w:cs="Times New Roman" w:ascii="Times New Roman" w:hAnsi="Times New Roman"/>
                <w:kern w:val="0"/>
                <w:sz w:val="24"/>
                <w:szCs w:val="24"/>
                <w:lang w:val="pt-BR" w:eastAsia="pt-BR" w:bidi="ar-SA"/>
              </w:rPr>
              <w:t xml:space="preserve"> </w:t>
            </w:r>
            <w:r>
              <w:rPr>
                <w:rFonts w:eastAsia="Times New Roman" w:cs="Times New Roman" w:ascii="Times New Roman" w:hAnsi="Times New Roman"/>
                <w:b/>
                <w:kern w:val="0"/>
                <w:sz w:val="24"/>
                <w:szCs w:val="24"/>
                <w:lang w:val="pt-BR" w:eastAsia="pt-BR" w:bidi="ar-SA"/>
              </w:rPr>
              <w:t xml:space="preserve">Funções essenciais à Justiça. </w:t>
            </w:r>
            <w:r>
              <w:rPr>
                <w:rFonts w:eastAsia="Times New Roman" w:cs="Times New Roman" w:ascii="Times New Roman" w:hAnsi="Times New Roman"/>
                <w:kern w:val="0"/>
                <w:sz w:val="24"/>
                <w:szCs w:val="24"/>
                <w:lang w:val="pt-BR" w:eastAsia="pt-BR" w:bidi="ar-SA"/>
              </w:rPr>
              <w:t xml:space="preserve">Ministério Público. Advocacia Pública. Advocacia. </w:t>
            </w:r>
            <w:bookmarkStart w:id="7" w:name="_6h25eikhny85"/>
            <w:bookmarkEnd w:id="7"/>
            <w:r>
              <w:rPr>
                <w:rFonts w:eastAsia="Times New Roman" w:cs="Times New Roman" w:ascii="Times New Roman" w:hAnsi="Times New Roman"/>
                <w:b/>
                <w:kern w:val="0"/>
                <w:sz w:val="24"/>
                <w:szCs w:val="24"/>
                <w:lang w:val="pt-BR" w:eastAsia="pt-BR" w:bidi="ar-SA"/>
              </w:rPr>
              <w:t>5.</w:t>
            </w:r>
            <w:r>
              <w:rPr>
                <w:rFonts w:eastAsia="Times New Roman" w:cs="Times New Roman" w:ascii="Times New Roman" w:hAnsi="Times New Roman"/>
                <w:kern w:val="0"/>
                <w:sz w:val="24"/>
                <w:szCs w:val="24"/>
                <w:lang w:val="pt-BR" w:eastAsia="pt-BR" w:bidi="ar-SA"/>
              </w:rPr>
              <w:t xml:space="preserve">   </w:t>
            </w:r>
            <w:r>
              <w:rPr>
                <w:rFonts w:eastAsia="Times New Roman" w:cs="Times New Roman" w:ascii="Times New Roman" w:hAnsi="Times New Roman"/>
                <w:b/>
                <w:kern w:val="0"/>
                <w:sz w:val="24"/>
                <w:szCs w:val="24"/>
                <w:lang w:val="pt-BR" w:eastAsia="pt-BR" w:bidi="ar-SA"/>
              </w:rPr>
              <w:t xml:space="preserve">Defensoria Pública. </w:t>
            </w:r>
            <w:r>
              <w:rPr>
                <w:rFonts w:eastAsia="Times New Roman" w:cs="Times New Roman" w:ascii="Times New Roman" w:hAnsi="Times New Roman"/>
                <w:kern w:val="0"/>
                <w:sz w:val="24"/>
                <w:szCs w:val="24"/>
                <w:lang w:val="pt-BR" w:eastAsia="pt-BR" w:bidi="ar-SA"/>
              </w:rPr>
              <w:t>Emenda Constitucional nº 80/2014. Lei complementar 80/94. Lei complementar 132/09.</w:t>
            </w:r>
          </w:p>
        </w:tc>
      </w:tr>
      <w:tr>
        <w:trPr/>
        <w:tc>
          <w:tcPr>
            <w:tcW w:w="9016" w:type="dxa"/>
            <w:tcBorders/>
          </w:tcPr>
          <w:p>
            <w:pPr>
              <w:pStyle w:val="ListParagraph"/>
              <w:widowControl/>
              <w:suppressAutoHyphens w:val="true"/>
              <w:spacing w:before="0" w:after="0"/>
              <w:ind w:left="47" w:hanging="0"/>
              <w:contextualSpacing/>
              <w:jc w:val="both"/>
              <w:rPr>
                <w:rFonts w:ascii="Times New Roman" w:hAnsi="Times New Roman" w:eastAsia="Times New Roman" w:cs="Times New Roman"/>
                <w:b/>
                <w:b/>
                <w:sz w:val="24"/>
                <w:szCs w:val="24"/>
              </w:rPr>
            </w:pPr>
            <w:r>
              <w:rPr>
                <w:rFonts w:eastAsia="Times New Roman" w:cs="Times New Roman" w:ascii="Times New Roman" w:hAnsi="Times New Roman"/>
                <w:b/>
                <w:kern w:val="0"/>
                <w:sz w:val="24"/>
                <w:szCs w:val="24"/>
                <w:lang w:val="pt-BR" w:eastAsia="pt-BR" w:bidi="ar-SA"/>
              </w:rPr>
              <w:t>DIREITO CIVIL</w:t>
            </w:r>
            <w:r>
              <w:rPr>
                <w:rFonts w:cs="Times New Roman" w:ascii="Times New Roman" w:hAnsi="Times New Roman"/>
                <w:b/>
                <w:kern w:val="0"/>
                <w:sz w:val="24"/>
                <w:szCs w:val="24"/>
                <w:lang w:val="pt-BR" w:eastAsia="pt-BR" w:bidi="ar-SA"/>
              </w:rPr>
              <w:t xml:space="preserve"> Pessoa natural.</w:t>
            </w:r>
            <w:r>
              <w:rPr>
                <w:rFonts w:cs="Times New Roman" w:ascii="Times New Roman" w:hAnsi="Times New Roman"/>
                <w:kern w:val="0"/>
                <w:sz w:val="24"/>
                <w:szCs w:val="24"/>
                <w:lang w:val="pt-BR" w:eastAsia="pt-BR" w:bidi="ar-SA"/>
              </w:rPr>
              <w:t xml:space="preserve"> Aquisição e extinção da personalidade. Direitos da personalidade. Nascituro. Embrião excedentário. Nome. Estado. Registro das pessoas naturais. Domicílio e residência. Pessoa natural: capacidade e emancipação. Incapacidade. Suprimento da incapacidade. Tutela. Curatela. Internação psiquiátrica involuntária. Ausência. Administração de bens e direitos de incapazes. </w:t>
            </w:r>
            <w:r>
              <w:rPr>
                <w:rFonts w:cs="Times New Roman" w:ascii="Times New Roman" w:hAnsi="Times New Roman"/>
                <w:b/>
                <w:kern w:val="0"/>
                <w:sz w:val="24"/>
                <w:szCs w:val="24"/>
                <w:lang w:val="pt-BR" w:eastAsia="pt-BR" w:bidi="ar-SA"/>
              </w:rPr>
              <w:t>2. Atos jurídicos</w:t>
            </w:r>
            <w:r>
              <w:rPr>
                <w:rFonts w:cs="Times New Roman" w:ascii="Times New Roman" w:hAnsi="Times New Roman"/>
                <w:kern w:val="0"/>
                <w:sz w:val="24"/>
                <w:szCs w:val="24"/>
                <w:lang w:val="pt-BR" w:eastAsia="pt-BR" w:bidi="ar-SA"/>
              </w:rPr>
              <w:t xml:space="preserve"> – elementos essenciais, classificação e modalidades. Defeitos e invalidade dos atos. 3. </w:t>
            </w:r>
            <w:r>
              <w:rPr>
                <w:rFonts w:cs="Times New Roman" w:ascii="Times New Roman" w:hAnsi="Times New Roman"/>
                <w:b/>
                <w:kern w:val="0"/>
                <w:sz w:val="24"/>
                <w:szCs w:val="24"/>
                <w:lang w:val="pt-BR" w:eastAsia="pt-BR" w:bidi="ar-SA"/>
              </w:rPr>
              <w:t>Função social das relações jurídicas.</w:t>
            </w:r>
            <w:r>
              <w:rPr>
                <w:rFonts w:cs="Times New Roman" w:ascii="Times New Roman" w:hAnsi="Times New Roman"/>
                <w:kern w:val="0"/>
                <w:sz w:val="24"/>
                <w:szCs w:val="24"/>
                <w:lang w:val="pt-BR" w:eastAsia="pt-BR" w:bidi="ar-SA"/>
              </w:rPr>
              <w:t xml:space="preserve"> Prescrição e decadência. </w:t>
            </w:r>
            <w:r>
              <w:rPr>
                <w:rFonts w:cs="Times New Roman" w:ascii="Times New Roman" w:hAnsi="Times New Roman"/>
                <w:b/>
                <w:kern w:val="0"/>
                <w:sz w:val="24"/>
                <w:szCs w:val="24"/>
                <w:lang w:val="pt-BR" w:eastAsia="pt-BR" w:bidi="ar-SA"/>
              </w:rPr>
              <w:t>4. Atos ilícitos</w:t>
            </w:r>
            <w:r>
              <w:rPr>
                <w:rFonts w:cs="Times New Roman" w:ascii="Times New Roman" w:hAnsi="Times New Roman"/>
                <w:kern w:val="0"/>
                <w:sz w:val="24"/>
                <w:szCs w:val="24"/>
                <w:lang w:val="pt-BR" w:eastAsia="pt-BR" w:bidi="ar-SA"/>
              </w:rPr>
              <w:t>. Abuso do direito. Enriquecimento ilícito. Causas excludentes de ilicitude. Prova</w:t>
            </w:r>
            <w:r>
              <w:rPr>
                <w:rFonts w:cs="Times New Roman" w:ascii="Times New Roman" w:hAnsi="Times New Roman"/>
                <w:b/>
                <w:kern w:val="0"/>
                <w:sz w:val="24"/>
                <w:szCs w:val="24"/>
                <w:lang w:val="pt-BR" w:eastAsia="pt-BR" w:bidi="ar-SA"/>
              </w:rPr>
              <w:t>. 5. Responsabilidade civil</w:t>
            </w:r>
            <w:r>
              <w:rPr>
                <w:rFonts w:cs="Times New Roman" w:ascii="Times New Roman" w:hAnsi="Times New Roman"/>
                <w:kern w:val="0"/>
                <w:sz w:val="24"/>
                <w:szCs w:val="24"/>
                <w:lang w:val="pt-BR" w:eastAsia="pt-BR" w:bidi="ar-SA"/>
              </w:rPr>
              <w:t xml:space="preserve">. Da Indenização por Danos. Liquidação dos danos. Responsabilidade civil por perda de uma chance. </w:t>
            </w:r>
            <w:r>
              <w:rPr>
                <w:rFonts w:cs="Times New Roman" w:ascii="Times New Roman" w:hAnsi="Times New Roman"/>
                <w:b/>
                <w:kern w:val="0"/>
                <w:sz w:val="24"/>
                <w:szCs w:val="24"/>
                <w:lang w:val="pt-BR" w:eastAsia="pt-BR" w:bidi="ar-SA"/>
              </w:rPr>
              <w:t>6. Bens jurídicos.</w:t>
            </w:r>
            <w:r>
              <w:rPr>
                <w:rFonts w:cs="Times New Roman" w:ascii="Times New Roman" w:hAnsi="Times New Roman"/>
                <w:kern w:val="0"/>
                <w:sz w:val="24"/>
                <w:szCs w:val="24"/>
                <w:lang w:val="pt-BR" w:eastAsia="pt-BR" w:bidi="ar-SA"/>
              </w:rPr>
              <w:t xml:space="preserve"> </w:t>
            </w:r>
            <w:r>
              <w:rPr>
                <w:rFonts w:cs="Times New Roman" w:ascii="Times New Roman" w:hAnsi="Times New Roman"/>
                <w:b/>
                <w:kern w:val="0"/>
                <w:sz w:val="24"/>
                <w:szCs w:val="24"/>
                <w:lang w:val="pt-BR" w:eastAsia="pt-BR" w:bidi="ar-SA"/>
              </w:rPr>
              <w:t>7. Do direito das coisas. Posse e propriedade</w:t>
            </w:r>
            <w:r>
              <w:rPr>
                <w:rFonts w:cs="Times New Roman" w:ascii="Times New Roman" w:hAnsi="Times New Roman"/>
                <w:kern w:val="0"/>
                <w:sz w:val="24"/>
                <w:szCs w:val="24"/>
                <w:lang w:val="pt-BR" w:eastAsia="pt-BR" w:bidi="ar-SA"/>
              </w:rPr>
              <w:t xml:space="preserve">: classificação, aquisição, perda e proteção. Função social e ambiental da posse e da propriedade. </w:t>
            </w:r>
            <w:r>
              <w:rPr>
                <w:rFonts w:cs="Times New Roman" w:ascii="Times New Roman" w:hAnsi="Times New Roman"/>
                <w:b/>
                <w:kern w:val="0"/>
                <w:sz w:val="24"/>
                <w:szCs w:val="24"/>
                <w:lang w:val="pt-BR" w:eastAsia="pt-BR" w:bidi="ar-SA"/>
              </w:rPr>
              <w:t>8. Direito das coisas. Direitos de vizinhança.</w:t>
            </w:r>
            <w:r>
              <w:rPr>
                <w:rFonts w:cs="Times New Roman" w:ascii="Times New Roman" w:hAnsi="Times New Roman"/>
                <w:kern w:val="0"/>
                <w:sz w:val="24"/>
                <w:szCs w:val="24"/>
                <w:lang w:val="pt-BR" w:eastAsia="pt-BR" w:bidi="ar-SA"/>
              </w:rPr>
              <w:t xml:space="preserve"> Condomínio geral. Condomínio edilício (Código Civil, artigos 1.331 a 1.358; Lei nº 4.591/64). Direitos sobre coisa alheia: uso, usufruto, habitação e servidão. Direito de Superfície. Direito de Sobrelevação. Propriedade resolúvel. Propriedade fiduciária. Alienação fiduciária em garantia. Compromisso de venda e compra. Garantias de dívidas: penhor e hipoteca. </w:t>
            </w:r>
            <w:r>
              <w:rPr>
                <w:rFonts w:cs="Times New Roman" w:ascii="Times New Roman" w:hAnsi="Times New Roman"/>
                <w:b/>
                <w:kern w:val="0"/>
                <w:sz w:val="24"/>
                <w:szCs w:val="24"/>
                <w:lang w:val="pt-BR" w:eastAsia="pt-BR" w:bidi="ar-SA"/>
              </w:rPr>
              <w:t>9. Entidades familiares</w:t>
            </w:r>
            <w:r>
              <w:rPr>
                <w:rFonts w:cs="Times New Roman" w:ascii="Times New Roman" w:hAnsi="Times New Roman"/>
                <w:kern w:val="0"/>
                <w:sz w:val="24"/>
                <w:szCs w:val="24"/>
                <w:lang w:val="pt-BR" w:eastAsia="pt-BR" w:bidi="ar-SA"/>
              </w:rPr>
              <w:t xml:space="preserve">. Origem e conceitos. Relações familiares plurais - fundamentos da diversidade. Princípios constitucionais da família. Princípios constitucionais aplicáveis às relações familiares. Esponsais. Casamento - habilitação, celebração, eficácia, direitos e deveres. Dissolução de sociedade conjugal e do vínculo matrimonial. Responsabilidade civil decorrente das relações familiares. Regime de bens, meação e sucessão. A teoria da desconsideração na partilha. Posse do estado de casado. União estável. Aspectos constitucionais e normas da legislação infraconstitucional. Características, estado, impedimentos, direitos e deveres. Meação e sucessão. A teoria da desconsideração na partilha. União de pessoas do mesmo sexo e direito homoafetivo. Relações de parentesco. Filiação. Proteção das pessoas dos filhos. Adoção. Reconhecimento de filhos. Denominações. Estado de filiação e origem genética. Princípio da afetividade. Alienação Parental. Princípio da paternidade responsável. Usufruto e administração de bens de filhos incapazes. O Estatuto da Criança e do Adolescente (Lei nº 8.069/90). Poder familiar. Direitos sexuais e reprodutivos. Reprodução medicamente assistida. Planejamento familiar. Alimentos. Conceito. Natureza. Classificação dos alimentos. Características do direito alimentar. Características da obrigação alimentar. Origens e sujeitos das obrigações alimentares. Alimentos Gravídicos. </w:t>
            </w:r>
            <w:r>
              <w:rPr>
                <w:rFonts w:cs="Times New Roman" w:ascii="Times New Roman" w:hAnsi="Times New Roman"/>
                <w:b/>
                <w:kern w:val="0"/>
                <w:sz w:val="24"/>
                <w:szCs w:val="24"/>
                <w:lang w:val="pt-BR" w:eastAsia="pt-BR" w:bidi="ar-SA"/>
              </w:rPr>
              <w:t>10. Sucessão. Sucessão Legítima e Sucessão testamentária.</w:t>
            </w:r>
            <w:r>
              <w:rPr>
                <w:rFonts w:cs="Times New Roman" w:ascii="Times New Roman" w:hAnsi="Times New Roman"/>
                <w:kern w:val="0"/>
                <w:sz w:val="24"/>
                <w:szCs w:val="24"/>
                <w:lang w:val="pt-BR" w:eastAsia="pt-BR" w:bidi="ar-SA"/>
              </w:rPr>
              <w:t xml:space="preserve"> Herança jacente. Herança vacante. Inventário. Partilha de bens e direitos.</w:t>
            </w:r>
          </w:p>
        </w:tc>
      </w:tr>
      <w:tr>
        <w:trPr/>
        <w:tc>
          <w:tcPr>
            <w:tcW w:w="9016" w:type="dxa"/>
            <w:tcBorders/>
          </w:tcPr>
          <w:p>
            <w:pPr>
              <w:pStyle w:val="Normal"/>
              <w:widowControl/>
              <w:suppressAutoHyphens w:val="true"/>
              <w:spacing w:before="0" w:after="0"/>
              <w:ind w:firstLine="29"/>
              <w:jc w:val="both"/>
              <w:rPr>
                <w:rFonts w:ascii="Times New Roman" w:hAnsi="Times New Roman" w:eastAsia="Times New Roman" w:cs="Times New Roman"/>
                <w:b/>
                <w:b/>
                <w:sz w:val="24"/>
                <w:szCs w:val="24"/>
              </w:rPr>
            </w:pPr>
            <w:r>
              <w:rPr>
                <w:rFonts w:eastAsia="Times New Roman" w:cs="Times New Roman" w:ascii="Times New Roman" w:hAnsi="Times New Roman"/>
                <w:b/>
                <w:kern w:val="0"/>
                <w:sz w:val="24"/>
                <w:szCs w:val="24"/>
                <w:lang w:val="pt-BR" w:eastAsia="pt-BR" w:bidi="ar-SA"/>
              </w:rPr>
              <w:t>DIREITO PROCESSUAL CIVIL</w:t>
            </w:r>
            <w:r>
              <w:rPr>
                <w:rFonts w:cs="Times New Roman" w:ascii="Times New Roman" w:hAnsi="Times New Roman"/>
                <w:b/>
                <w:kern w:val="0"/>
                <w:sz w:val="24"/>
                <w:szCs w:val="24"/>
                <w:lang w:val="pt-BR" w:eastAsia="pt-BR" w:bidi="ar-SA"/>
              </w:rPr>
              <w:t xml:space="preserve"> 1. Jurisdição e ação.</w:t>
            </w:r>
            <w:r>
              <w:rPr>
                <w:rFonts w:cs="Times New Roman" w:ascii="Times New Roman" w:hAnsi="Times New Roman"/>
                <w:kern w:val="0"/>
                <w:sz w:val="24"/>
                <w:szCs w:val="24"/>
                <w:lang w:val="pt-BR" w:eastAsia="pt-BR" w:bidi="ar-SA"/>
              </w:rPr>
              <w:t xml:space="preserve"> Conceito, natureza e características. Condições da ação. </w:t>
            </w:r>
            <w:r>
              <w:rPr>
                <w:rFonts w:cs="Times New Roman" w:ascii="Times New Roman" w:hAnsi="Times New Roman"/>
                <w:b/>
                <w:kern w:val="0"/>
                <w:sz w:val="24"/>
                <w:szCs w:val="24"/>
                <w:lang w:val="pt-BR" w:eastAsia="pt-BR" w:bidi="ar-SA"/>
              </w:rPr>
              <w:t>2. Partes e procuradores</w:t>
            </w:r>
            <w:r>
              <w:rPr>
                <w:rFonts w:cs="Times New Roman" w:ascii="Times New Roman" w:hAnsi="Times New Roman"/>
                <w:kern w:val="0"/>
                <w:sz w:val="24"/>
                <w:szCs w:val="24"/>
                <w:lang w:val="pt-BR" w:eastAsia="pt-BR" w:bidi="ar-SA"/>
              </w:rPr>
              <w:t xml:space="preserve">. Capacidade processual e postulatória. Deveres e substituição das partes e procuradores. </w:t>
            </w:r>
            <w:r>
              <w:rPr>
                <w:rFonts w:cs="Times New Roman" w:ascii="Times New Roman" w:hAnsi="Times New Roman"/>
                <w:b/>
                <w:kern w:val="0"/>
                <w:sz w:val="24"/>
                <w:szCs w:val="24"/>
                <w:lang w:val="pt-BR" w:eastAsia="pt-BR" w:bidi="ar-SA"/>
              </w:rPr>
              <w:t>3. Prerrogativas processuais da Defensoria Pública.</w:t>
            </w:r>
            <w:r>
              <w:rPr>
                <w:rFonts w:cs="Times New Roman" w:ascii="Times New Roman" w:hAnsi="Times New Roman"/>
                <w:kern w:val="0"/>
                <w:sz w:val="24"/>
                <w:szCs w:val="24"/>
                <w:lang w:val="pt-BR" w:eastAsia="pt-BR" w:bidi="ar-SA"/>
              </w:rPr>
              <w:t xml:space="preserve"> </w:t>
            </w:r>
            <w:r>
              <w:rPr>
                <w:rFonts w:cs="Times New Roman" w:ascii="Times New Roman" w:hAnsi="Times New Roman"/>
                <w:b/>
                <w:kern w:val="0"/>
                <w:sz w:val="24"/>
                <w:szCs w:val="24"/>
                <w:lang w:val="pt-BR" w:eastAsia="pt-BR" w:bidi="ar-SA"/>
              </w:rPr>
              <w:t>6. Competência</w:t>
            </w:r>
            <w:r>
              <w:rPr>
                <w:rFonts w:cs="Times New Roman" w:ascii="Times New Roman" w:hAnsi="Times New Roman"/>
                <w:kern w:val="0"/>
                <w:sz w:val="24"/>
                <w:szCs w:val="24"/>
                <w:lang w:val="pt-BR" w:eastAsia="pt-BR" w:bidi="ar-SA"/>
              </w:rPr>
              <w:t xml:space="preserve">. </w:t>
            </w:r>
            <w:r>
              <w:rPr>
                <w:rFonts w:cs="Times New Roman" w:ascii="Times New Roman" w:hAnsi="Times New Roman"/>
                <w:b/>
                <w:kern w:val="0"/>
                <w:sz w:val="24"/>
                <w:szCs w:val="24"/>
                <w:lang w:val="pt-BR" w:eastAsia="pt-BR" w:bidi="ar-SA"/>
              </w:rPr>
              <w:t>7. O juiz. 8. Atos processuais 9. Formação, suspensão e extinção do processo. 10. Processo e procedimento</w:t>
            </w:r>
            <w:r>
              <w:rPr>
                <w:rFonts w:cs="Times New Roman" w:ascii="Times New Roman" w:hAnsi="Times New Roman"/>
                <w:kern w:val="0"/>
                <w:sz w:val="24"/>
                <w:szCs w:val="24"/>
                <w:lang w:val="pt-BR" w:eastAsia="pt-BR" w:bidi="ar-SA"/>
              </w:rPr>
              <w:t xml:space="preserve">. 10.1 Procedimentos ordinário e sumario. </w:t>
            </w:r>
            <w:r>
              <w:rPr>
                <w:rFonts w:cs="Times New Roman" w:ascii="Times New Roman" w:hAnsi="Times New Roman"/>
                <w:b/>
                <w:kern w:val="0"/>
                <w:sz w:val="24"/>
                <w:szCs w:val="24"/>
                <w:lang w:val="pt-BR" w:eastAsia="pt-BR" w:bidi="ar-SA"/>
              </w:rPr>
              <w:t>11. Procedimento ordinário. 12. Audiência. 13. Sentença e coisa julgada. 14. Liquidação e cumprimento da sentença. 15. Recursos. 16. Processo de execução. 17. Processo cautelar e medidas cautelares. 18. Procedimentos cautelares específicos (arresto, sequestro, busca e apreensão). 19. Procedimentos especiais. 20. Mandado de segurança.</w:t>
            </w:r>
            <w:r>
              <w:rPr>
                <w:rFonts w:cs="Times New Roman" w:ascii="Times New Roman" w:hAnsi="Times New Roman"/>
                <w:kern w:val="0"/>
                <w:sz w:val="24"/>
                <w:szCs w:val="24"/>
                <w:lang w:val="pt-BR" w:eastAsia="pt-BR" w:bidi="ar-SA"/>
              </w:rPr>
              <w:t xml:space="preserve"> </w:t>
            </w:r>
          </w:p>
        </w:tc>
      </w:tr>
      <w:tr>
        <w:trPr/>
        <w:tc>
          <w:tcPr>
            <w:tcW w:w="9016" w:type="dxa"/>
            <w:tcBorders/>
          </w:tcPr>
          <w:p>
            <w:pPr>
              <w:pStyle w:val="Normal"/>
              <w:widowControl/>
              <w:suppressAutoHyphens w:val="true"/>
              <w:spacing w:before="0" w:after="0"/>
              <w:ind w:firstLine="29"/>
              <w:jc w:val="both"/>
              <w:rPr>
                <w:rFonts w:ascii="Times New Roman" w:hAnsi="Times New Roman" w:eastAsia="Times New Roman" w:cs="Times New Roman"/>
                <w:b/>
                <w:b/>
                <w:sz w:val="24"/>
                <w:szCs w:val="24"/>
              </w:rPr>
            </w:pPr>
            <w:r>
              <w:rPr>
                <w:rFonts w:eastAsia="Times New Roman" w:cs="Times New Roman" w:ascii="Times New Roman" w:hAnsi="Times New Roman"/>
                <w:b/>
                <w:kern w:val="0"/>
                <w:sz w:val="24"/>
                <w:szCs w:val="24"/>
                <w:lang w:val="pt-BR" w:eastAsia="pt-BR" w:bidi="ar-SA"/>
              </w:rPr>
              <w:t xml:space="preserve">MEDIAÇÃO  </w:t>
            </w:r>
            <w:r>
              <w:rPr>
                <w:rFonts w:cs="Times New Roman" w:ascii="Times New Roman" w:hAnsi="Times New Roman"/>
                <w:b/>
                <w:kern w:val="0"/>
                <w:sz w:val="24"/>
                <w:szCs w:val="24"/>
                <w:lang w:val="pt-BR" w:eastAsia="pt-BR" w:bidi="ar-SA"/>
              </w:rPr>
              <w:t>1. Teoria do conflito e os mecanismos autocompositivos. 2. Técnicas de negociação e mediação. Procedimentos, posturas, condutas e mecanismos aptos a obter a solução conciliada dos conflitos. 3 Teoria dos Jogos. 4 Fundamentos de negociação. 5. Competências autocompositivas. Qualidade em processos autocompositivos. 6. Panorama do processo de mediação. 7. A sessão de mediação. 8. A mediação e o processo judicial. 9. Lei nº 13.140 de 26 de junho de 2015.</w:t>
            </w:r>
          </w:p>
        </w:tc>
      </w:tr>
      <w:tr>
        <w:trPr/>
        <w:tc>
          <w:tcPr>
            <w:tcW w:w="9016" w:type="dxa"/>
            <w:tcBorders/>
          </w:tcPr>
          <w:p>
            <w:pPr>
              <w:pStyle w:val="Normal"/>
              <w:widowControl/>
              <w:suppressAutoHyphens w:val="true"/>
              <w:spacing w:before="0" w:after="0"/>
              <w:ind w:firstLine="29"/>
              <w:jc w:val="both"/>
              <w:rPr>
                <w:rFonts w:ascii="Times New Roman" w:hAnsi="Times New Roman" w:eastAsia="Times New Roman" w:cs="Times New Roman"/>
                <w:b/>
                <w:b/>
                <w:sz w:val="24"/>
                <w:szCs w:val="24"/>
              </w:rPr>
            </w:pPr>
            <w:r>
              <w:rPr>
                <w:rFonts w:eastAsia="Times New Roman" w:cs="Times New Roman" w:ascii="Times New Roman" w:hAnsi="Times New Roman"/>
                <w:b/>
                <w:kern w:val="0"/>
                <w:sz w:val="24"/>
                <w:szCs w:val="24"/>
                <w:lang w:val="pt-BR" w:eastAsia="pt-BR" w:bidi="ar-SA"/>
              </w:rPr>
              <w:t>DIREITO DO CONSUMIDOR</w:t>
            </w:r>
            <w:r>
              <w:rPr>
                <w:rFonts w:cs="Times New Roman" w:ascii="Times New Roman" w:hAnsi="Times New Roman"/>
                <w:kern w:val="0"/>
                <w:sz w:val="24"/>
                <w:szCs w:val="24"/>
                <w:lang w:val="pt-BR" w:eastAsia="pt-BR" w:bidi="ar-SA"/>
              </w:rPr>
              <w:t xml:space="preserve"> 1. Direito do consumidor. 1.1 Natureza e fonte de suas regras. 1.1.1 Teoria constitucional da proteção do consumidor. 1.1.2 Competência legislativa sobre direito do consumidor. 1.2 Características e princípios do Código de Defesa do Consumidor. 1.3 Integrantes e objeto da relação de consumo. 1.4 Política nacional de relações de consumo. 1.4.1 Objetivos e princípios. 1.5 Direitos básicos do consumidor. 1.6 Qualidade de produtos e serviços, prevenção e reparação de danos. 1.6.1 Proteção à saúde e segurança. 1.6.2 Responsabilidade pelo fato do produto e do serviço. 1.6.3 Responsabilidade por vício do produto e do serviço. 1.6.4 Decadência e prescrição. 1.6.5 Desconsideração da personalidade jurídica. 1.7 Práticas comerciais. 1.7.1 Oferta e efeito vinculante da oferta publicitária. 1.7.2 Publicidade. 1.7.3 Práticas abusivas. 1.7.4 Cobrança de dívidas. 1.7.5 Bancos de dados e cadastros de consumidores. 1.8 Proteção contratual. 1.8.1 Princípios basilares dos contratos de consumo. 1.8.2. Cláusulas abusivas. 1.8.3 Contratos de adesão. 1.8.4 Superendividamento. 1.9 Sanções administrativas. 2. Infrações penais. 3. Defesa do consumidor em juízo. 3.1 Teoria dos direitos transindividuais: interesses ou direitos difusos, coletivos e individuais homogêneos. 3.2 Legitimidade ativa para a propositura de ações coletivas. 3.3 Ações coletivas para a defesa de interesses individuais homogêneos. 3.4 Ações de responsabilidade do fornecedor de produtos e serviços. 3.5 Coisa julgada. 4. Sistema nacional de defesa do consumidor. 4.1 Defensoria Pública. 4.2 Ministério Público. 4.3 Delegacia do consumidor. 4.4 PROCON. 4.5. Associações civis de defesa do consumidor. 4.6 Secretaria Nacional do Consumidor - SENACON. 4.7 Sistema nacional de informações de defesa do consumidor - SINDEC. 4.8 Conflito de atribuições entre PROCON e outros órgãos de defesa do consumidor. 5. Lei nº 8.078/1990. 7. Decreto nº 2.181/1997.</w:t>
            </w:r>
          </w:p>
        </w:tc>
      </w:tr>
      <w:tr>
        <w:trPr/>
        <w:tc>
          <w:tcPr>
            <w:tcW w:w="9016" w:type="dxa"/>
            <w:tcBorders/>
          </w:tcPr>
          <w:p>
            <w:pPr>
              <w:pStyle w:val="Normal"/>
              <w:widowControl/>
              <w:suppressAutoHyphens w:val="true"/>
              <w:spacing w:before="0" w:after="0"/>
              <w:ind w:firstLine="29"/>
              <w:jc w:val="both"/>
              <w:rPr>
                <w:rFonts w:ascii="Times New Roman" w:hAnsi="Times New Roman" w:eastAsia="Times New Roman" w:cs="Times New Roman"/>
                <w:b/>
                <w:b/>
                <w:sz w:val="24"/>
                <w:szCs w:val="24"/>
              </w:rPr>
            </w:pPr>
            <w:r>
              <w:rPr>
                <w:rFonts w:eastAsia="Times New Roman" w:cs="Times New Roman" w:ascii="Times New Roman" w:hAnsi="Times New Roman"/>
                <w:b/>
                <w:kern w:val="0"/>
                <w:sz w:val="24"/>
                <w:szCs w:val="24"/>
                <w:lang w:val="pt-BR" w:eastAsia="pt-BR" w:bidi="ar-SA"/>
              </w:rPr>
              <w:t xml:space="preserve">DIREITO A CRIANÇA E DO ADOLESCENTE </w:t>
            </w:r>
            <w:r>
              <w:rPr>
                <w:rFonts w:cs="Times New Roman" w:ascii="Times New Roman" w:hAnsi="Times New Roman"/>
                <w:kern w:val="0"/>
                <w:sz w:val="24"/>
                <w:szCs w:val="24"/>
                <w:lang w:val="pt-BR" w:eastAsia="pt-BR" w:bidi="ar-SA"/>
              </w:rPr>
              <w:t>1. Evolução histórica do direito da criança e do adolescente: da doutrina da situação irregular à doutrina da proteção integral. 1.1. Defesa prioritária da criança e do adolescente. 1.3. Os direitos da criança e do adolescente na Constituição Federal. 1.4. A Defensoria Pública e proteção dos direitos individuais e coletivos da criança e do adolescente. 1.5. Estatuto da Criança e do Adolescente (Lei nº 8.069/90). 1.6. Lei nº 12.594/12.</w:t>
            </w:r>
          </w:p>
        </w:tc>
      </w:tr>
      <w:tr>
        <w:trPr/>
        <w:tc>
          <w:tcPr>
            <w:tcW w:w="9016" w:type="dxa"/>
            <w:tcBorders/>
          </w:tcPr>
          <w:p>
            <w:pPr>
              <w:pStyle w:val="Normal"/>
              <w:widowControl/>
              <w:suppressAutoHyphens w:val="true"/>
              <w:spacing w:before="0" w:after="0"/>
              <w:ind w:firstLine="29"/>
              <w:jc w:val="both"/>
              <w:rPr>
                <w:rFonts w:ascii="Times New Roman" w:hAnsi="Times New Roman" w:eastAsia="Times New Roman" w:cs="Times New Roman"/>
                <w:b/>
                <w:b/>
                <w:sz w:val="24"/>
                <w:szCs w:val="24"/>
              </w:rPr>
            </w:pPr>
            <w:r>
              <w:rPr>
                <w:rFonts w:eastAsia="Times New Roman" w:cs="Times New Roman" w:ascii="Times New Roman" w:hAnsi="Times New Roman"/>
                <w:b/>
                <w:kern w:val="0"/>
                <w:sz w:val="24"/>
                <w:szCs w:val="24"/>
                <w:lang w:val="pt-BR" w:eastAsia="pt-BR" w:bidi="ar-SA"/>
              </w:rPr>
              <w:t>LEI DE REGISTROS PÚBLICOS (6.015 de 31 de Dezembro de 1973)</w:t>
            </w:r>
          </w:p>
        </w:tc>
      </w:tr>
    </w:tbl>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r>
    </w:p>
    <w:p>
      <w:pPr>
        <w:pStyle w:val="Normal"/>
        <w:shd w:val="clear" w:color="auto" w:fill="FFFFFF"/>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r>
    </w:p>
    <w:p>
      <w:pPr>
        <w:pStyle w:val="Normal"/>
        <w:shd w:val="clear" w:color="auto" w:fill="FFFFFF"/>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 xml:space="preserve"> </w:t>
      </w:r>
    </w:p>
    <w:p>
      <w:pPr>
        <w:pStyle w:val="Normal"/>
        <w:shd w:val="clear" w:color="auto" w:fill="FFFFFF"/>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 xml:space="preserve"> </w:t>
      </w:r>
    </w:p>
    <w:p>
      <w:pPr>
        <w:pStyle w:val="Normal"/>
        <w:shd w:val="clear" w:color="auto" w:fill="FFFFFF"/>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 xml:space="preserve"> </w:t>
      </w:r>
    </w:p>
    <w:p>
      <w:pPr>
        <w:pStyle w:val="Normal"/>
        <w:shd w:val="clear" w:color="auto" w:fill="FFFFFF"/>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 xml:space="preserve"> </w:t>
      </w:r>
    </w:p>
    <w:p>
      <w:pPr>
        <w:pStyle w:val="Normal"/>
        <w:rPr>
          <w:rFonts w:ascii="Times New Roman" w:hAnsi="Times New Roman" w:eastAsia="Times New Roman" w:cs="Times New Roman"/>
          <w:color w:val="FF0000"/>
          <w:sz w:val="24"/>
          <w:szCs w:val="24"/>
        </w:rPr>
      </w:pPr>
      <w:r>
        <w:rPr/>
      </w:r>
    </w:p>
    <w:sectPr>
      <w:headerReference w:type="default" r:id="rId6"/>
      <w:type w:val="nextPage"/>
      <w:pgSz w:w="11906" w:h="16838"/>
      <w:pgMar w:left="1440" w:right="1440" w:gutter="0" w:header="720" w:top="1440" w:footer="0" w:bottom="1440"/>
      <w:pgNumType w:start="1" w:fmt="decimal"/>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pPr>
    <w:r>
      <w:rPr/>
      <w:drawing>
        <wp:inline distT="0" distB="0" distL="0" distR="0">
          <wp:extent cx="861060" cy="70929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861060" cy="709295"/>
                  </a:xfrm>
                  <a:prstGeom prst="rect">
                    <a:avLst/>
                  </a:prstGeom>
                </pic:spPr>
              </pic:pic>
            </a:graphicData>
          </a:graphic>
        </wp:inline>
      </w:drawing>
    </w:r>
  </w:p>
  <w:p>
    <w:pPr>
      <w:pStyle w:val="Cabealho"/>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pt-BR" w:eastAsia="pt-BR" w:bidi="ar-SA"/>
    </w:rPr>
  </w:style>
  <w:style w:type="paragraph" w:styleId="Ttulo1">
    <w:name w:val="Heading 1"/>
    <w:basedOn w:val="Normal"/>
    <w:next w:val="Normal"/>
    <w:qFormat/>
    <w:pPr>
      <w:keepNext w:val="true"/>
      <w:keepLines/>
      <w:spacing w:before="400" w:after="120"/>
      <w:outlineLvl w:val="0"/>
    </w:pPr>
    <w:rPr>
      <w:sz w:val="40"/>
      <w:szCs w:val="40"/>
    </w:rPr>
  </w:style>
  <w:style w:type="paragraph" w:styleId="Ttulo2">
    <w:name w:val="Heading 2"/>
    <w:basedOn w:val="Normal"/>
    <w:next w:val="Normal"/>
    <w:qFormat/>
    <w:pPr>
      <w:keepNext w:val="true"/>
      <w:keepLines/>
      <w:spacing w:before="360" w:after="120"/>
      <w:outlineLvl w:val="1"/>
    </w:pPr>
    <w:rPr>
      <w:sz w:val="32"/>
      <w:szCs w:val="32"/>
    </w:rPr>
  </w:style>
  <w:style w:type="paragraph" w:styleId="Ttulo3">
    <w:name w:val="Heading 3"/>
    <w:basedOn w:val="Normal"/>
    <w:next w:val="Normal"/>
    <w:qFormat/>
    <w:pPr>
      <w:keepNext w:val="true"/>
      <w:keepLines/>
      <w:spacing w:before="320" w:after="80"/>
      <w:outlineLvl w:val="2"/>
    </w:pPr>
    <w:rPr>
      <w:color w:val="434343"/>
      <w:sz w:val="28"/>
      <w:szCs w:val="28"/>
    </w:rPr>
  </w:style>
  <w:style w:type="paragraph" w:styleId="Ttulo4">
    <w:name w:val="Heading 4"/>
    <w:basedOn w:val="Normal"/>
    <w:next w:val="Normal"/>
    <w:qFormat/>
    <w:pPr>
      <w:keepNext w:val="true"/>
      <w:keepLines/>
      <w:spacing w:before="280" w:after="80"/>
      <w:outlineLvl w:val="3"/>
    </w:pPr>
    <w:rPr>
      <w:color w:val="666666"/>
      <w:sz w:val="24"/>
      <w:szCs w:val="24"/>
    </w:rPr>
  </w:style>
  <w:style w:type="paragraph" w:styleId="Ttulo5">
    <w:name w:val="Heading 5"/>
    <w:basedOn w:val="Normal"/>
    <w:next w:val="Normal"/>
    <w:qFormat/>
    <w:pPr>
      <w:keepNext w:val="true"/>
      <w:keepLines/>
      <w:spacing w:before="240" w:after="80"/>
      <w:outlineLvl w:val="4"/>
    </w:pPr>
    <w:rPr>
      <w:color w:val="666666"/>
    </w:rPr>
  </w:style>
  <w:style w:type="paragraph" w:styleId="Ttulo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dc76c9"/>
    <w:rPr/>
  </w:style>
  <w:style w:type="character" w:styleId="RodapChar" w:customStyle="1">
    <w:name w:val="Rodapé Char"/>
    <w:basedOn w:val="DefaultParagraphFont"/>
    <w:uiPriority w:val="99"/>
    <w:qFormat/>
    <w:rsid w:val="00dc76c9"/>
    <w:rPr/>
  </w:style>
  <w:style w:type="character" w:styleId="LinkdaInternet">
    <w:name w:val="Link da Internet"/>
    <w:basedOn w:val="DefaultParagraphFont"/>
    <w:uiPriority w:val="99"/>
    <w:unhideWhenUsed/>
    <w:rsid w:val="00ef2b76"/>
    <w:rPr>
      <w:color w:val="0000FF" w:themeColor="hyperlink"/>
      <w:u w:val="single"/>
    </w:rPr>
  </w:style>
  <w:style w:type="character" w:styleId="TextodebaloChar" w:customStyle="1">
    <w:name w:val="Texto de balão Char"/>
    <w:basedOn w:val="DefaultParagraphFont"/>
    <w:link w:val="BalloonText"/>
    <w:uiPriority w:val="99"/>
    <w:semiHidden/>
    <w:qFormat/>
    <w:rsid w:val="00d84911"/>
    <w:rPr>
      <w:rFonts w:ascii="Segoe UI" w:hAnsi="Segoe UI" w:cs="Segoe UI"/>
      <w:sz w:val="18"/>
      <w:szCs w:val="1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keepLines/>
      <w:spacing w:before="0" w:after="60"/>
    </w:pPr>
    <w:rPr>
      <w:sz w:val="52"/>
      <w:szCs w:val="52"/>
    </w:rPr>
  </w:style>
  <w:style w:type="paragraph" w:styleId="Caption">
    <w:name w:val="caption"/>
    <w:basedOn w:val="Normal"/>
    <w:qFormat/>
    <w:pPr>
      <w:suppressLineNumbers/>
      <w:spacing w:before="120" w:after="120"/>
    </w:pPr>
    <w:rPr>
      <w:rFonts w:cs="Mangal"/>
      <w:i/>
      <w:iCs/>
      <w:sz w:val="24"/>
      <w:szCs w:val="24"/>
    </w:rPr>
  </w:style>
  <w:style w:type="paragraph" w:styleId="Subttulo">
    <w:name w:val="Subtitle"/>
    <w:basedOn w:val="Normal"/>
    <w:next w:val="Normal"/>
    <w:qFormat/>
    <w:pPr>
      <w:keepNext w:val="true"/>
      <w:keepLines/>
      <w:spacing w:before="0" w:after="320"/>
    </w:pPr>
    <w:rPr>
      <w:color w:val="666666"/>
      <w:sz w:val="30"/>
      <w:szCs w:val="30"/>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dc76c9"/>
    <w:pPr>
      <w:tabs>
        <w:tab w:val="clear" w:pos="720"/>
        <w:tab w:val="center" w:pos="4252" w:leader="none"/>
        <w:tab w:val="right" w:pos="8504" w:leader="none"/>
      </w:tabs>
      <w:spacing w:lineRule="auto" w:line="240"/>
    </w:pPr>
    <w:rPr/>
  </w:style>
  <w:style w:type="paragraph" w:styleId="Rodap">
    <w:name w:val="Footer"/>
    <w:basedOn w:val="Normal"/>
    <w:link w:val="RodapChar"/>
    <w:uiPriority w:val="99"/>
    <w:unhideWhenUsed/>
    <w:rsid w:val="00dc76c9"/>
    <w:pPr>
      <w:tabs>
        <w:tab w:val="clear" w:pos="720"/>
        <w:tab w:val="center" w:pos="4252" w:leader="none"/>
        <w:tab w:val="right" w:pos="8504" w:leader="none"/>
      </w:tabs>
      <w:spacing w:lineRule="auto" w:line="240"/>
    </w:pPr>
    <w:rPr/>
  </w:style>
  <w:style w:type="paragraph" w:styleId="ListParagraph">
    <w:name w:val="List Paragraph"/>
    <w:basedOn w:val="Normal"/>
    <w:uiPriority w:val="1"/>
    <w:qFormat/>
    <w:rsid w:val="00ad0227"/>
    <w:pPr>
      <w:spacing w:before="0" w:after="0"/>
      <w:ind w:left="720" w:hanging="0"/>
      <w:contextualSpacing/>
    </w:pPr>
    <w:rPr/>
  </w:style>
  <w:style w:type="paragraph" w:styleId="BalloonText">
    <w:name w:val="Balloon Text"/>
    <w:basedOn w:val="Normal"/>
    <w:link w:val="TextodebaloChar"/>
    <w:uiPriority w:val="99"/>
    <w:semiHidden/>
    <w:unhideWhenUsed/>
    <w:qFormat/>
    <w:rsid w:val="00d84911"/>
    <w:pPr>
      <w:spacing w:lineRule="auto" w:line="240"/>
    </w:pPr>
    <w:rPr>
      <w:rFonts w:ascii="Segoe UI" w:hAnsi="Segoe UI" w:cs="Segoe UI"/>
      <w:sz w:val="18"/>
      <w:szCs w:val="18"/>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uiPriority w:val="39"/>
    <w:rsid w:val="00b33d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fensoria.ma.def.br/seletivo" TargetMode="External"/><Relationship Id="rId3" Type="http://schemas.openxmlformats.org/officeDocument/2006/relationships/hyperlink" Target="http://defensoria.ma.def.br/seletivo" TargetMode="External"/><Relationship Id="rId4" Type="http://schemas.openxmlformats.org/officeDocument/2006/relationships/hyperlink" Target="http://defensoria.ma.def.br/seletivo" TargetMode="External"/><Relationship Id="rId5" Type="http://schemas.openxmlformats.org/officeDocument/2006/relationships/hyperlink" Target="mailto:diretoriaas.estrategicos@ma.def.br"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LibreOffice/7.3.1.3$Windows_X86_64 LibreOffice_project/a69ca51ded25f3eefd52d7bf9a5fad8c90b87951</Application>
  <AppVersion>15.0000</AppVersion>
  <Pages>14</Pages>
  <Words>3868</Words>
  <Characters>22832</Characters>
  <CharactersWithSpaces>26589</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2022-07-12T19:00:00Z</dcterms:created>
  <dc:creator>Conta da Microsoft</dc:creator>
  <dc:description/>
  <dc:language>pt-BR</dc:language>
  <cp:lastModifiedBy>Lorena Fernandes</cp:lastModifiedBy>
  <cp:lastPrinted>2022-07-07T18:21:00Z</cp:lastPrinted>
  <dcterms:modified xsi:type="dcterms:W3CDTF">2022-07-12T19:00:00Z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