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04/2022</w:t>
      </w:r>
    </w:p>
    <w:p w:rsidR="00000000" w:rsidDel="00000000" w:rsidP="00000000" w:rsidRDefault="00000000" w:rsidRPr="00000000" w14:paraId="0000000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II PROCESSO SELETIVO UNIFICADO PARA ESTÁGIO DE GRADUAÇÃO DA DEFENSORIA PÚBLICA DO ESTADO DO MARANHÃO </w:t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DEFENSOR PÚBLICO GERAL DO ESTADO DO MARANHÃO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, no uso de suas atribuições legais, e considerando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I PROCESSO SELETIVO UNIFICADO PARA ESTÁGIO DE GRADUAÇÃO DA DEFENSORIA PÚBLICA DO ESTADO DO MARANHÃO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, resolve: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1º-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DIVULGAR o GABARITO DEFINITIVO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II PROCESSO SELETIVO UNIFICADO PARA ESTÁGIO DE GRADUAÇÃO DA DEFENSORIA PÚBLICA DO ESTADO DO MARANHÃO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,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do edital.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2º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DIVULGAR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os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RECURSOS DEFERIDOS/INDEFERIDOS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,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II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do presente edital. 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3º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DIVULGAR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o espelho da prova dissertativa, conforme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III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do presente edital. 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4º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DIVULGAR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RESULTADO PRELIMINAR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da prova dissertativa, conforme listas anexas. 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5º -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INFORMAR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que os recursos em face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RESULTADO DA PROVA DISSERTATIVA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 deverão ser interpostos eletronicamente, nos dias 30/05/2022 e 31/05/2022,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unicamente através do formulário acessível no endereço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u w:val="single"/>
            <w:rtl w:val="0"/>
          </w:rPr>
          <w:t xml:space="preserve">https://forms.gle/2YckVLofcdSo1YRYA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conforme Edital de Abertura. </w:t>
      </w:r>
    </w:p>
    <w:p w:rsidR="00000000" w:rsidDel="00000000" w:rsidP="00000000" w:rsidRDefault="00000000" w:rsidRPr="00000000" w14:paraId="00000018">
      <w:pPr>
        <w:widowControl w:val="0"/>
        <w:spacing w:after="0" w:before="0" w:line="240" w:lineRule="auto"/>
        <w:ind w:left="1319" w:right="4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ind w:left="0" w:right="4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Parágrafo primeiro. Não serão aceitos recursos encaminhados por qualquer outra forma, devendo ser digitados e fundamentados em argumentação lógica e consistente.</w:t>
      </w:r>
    </w:p>
    <w:p w:rsidR="00000000" w:rsidDel="00000000" w:rsidP="00000000" w:rsidRDefault="00000000" w:rsidRPr="00000000" w14:paraId="0000001A">
      <w:pPr>
        <w:widowControl w:val="0"/>
        <w:spacing w:after="0" w:before="0" w:line="240" w:lineRule="auto"/>
        <w:ind w:left="1319" w:right="47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0" w:before="0" w:line="240" w:lineRule="auto"/>
        <w:ind w:left="0" w:right="477" w:firstLine="0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Parágrafo segundo. Recursos não fundamentados ou interpostos fora do prazo serão indeferidos.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6º - O presente Edital será PUBLICADO no site da DPE/MA. </w:t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right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São Luís, 30 de maio de 2022.</w:t>
      </w:r>
    </w:p>
    <w:p w:rsidR="00000000" w:rsidDel="00000000" w:rsidP="00000000" w:rsidRDefault="00000000" w:rsidRPr="00000000" w14:paraId="0000002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ALBERTO PESSOA BASTOS</w:t>
      </w:r>
    </w:p>
    <w:p w:rsidR="00000000" w:rsidDel="00000000" w:rsidP="00000000" w:rsidRDefault="00000000" w:rsidRPr="00000000" w14:paraId="0000002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Defensor Público-Geral do Estado do Maranhão </w:t>
      </w:r>
    </w:p>
    <w:p w:rsidR="00000000" w:rsidDel="00000000" w:rsidP="00000000" w:rsidRDefault="00000000" w:rsidRPr="00000000" w14:paraId="0000002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</w:t>
      </w:r>
    </w:p>
    <w:p w:rsidR="00000000" w:rsidDel="00000000" w:rsidP="00000000" w:rsidRDefault="00000000" w:rsidRPr="00000000" w14:paraId="0000002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8.0" w:type="dxa"/>
        <w:jc w:val="left"/>
        <w:tblInd w:w="117.0" w:type="dxa"/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bookmarkStart w:colFirst="0" w:colLast="0" w:name="kix.z69fq2vs0t2m" w:id="0"/>
          <w:bookmarkEnd w:id="0"/>
          <w:p w:rsidR="00000000" w:rsidDel="00000000" w:rsidP="00000000" w:rsidRDefault="00000000" w:rsidRPr="00000000" w14:paraId="0000002E">
            <w:pPr>
              <w:widowControl w:val="0"/>
              <w:spacing w:before="36" w:line="163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Prova - Direito (Graduação)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after="1"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Sobre Direito do Consumidor, analise os itens a seguir: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"/>
              </w:numPr>
              <w:tabs>
                <w:tab w:val="left" w:pos="172"/>
              </w:tabs>
              <w:spacing w:before="14" w:line="240" w:lineRule="auto"/>
              <w:ind w:left="171" w:hanging="118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operadora do plano de saúde tem o dever de custear as despesas de acompanhante de paciente idoso em caso de internação hospitalar.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"/>
              </w:numPr>
              <w:tabs>
                <w:tab w:val="left" w:pos="210"/>
              </w:tabs>
              <w:spacing w:before="14" w:line="259" w:lineRule="auto"/>
              <w:ind w:left="54" w:right="12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recusa à cobertura médica somente enseja a reparação a título de dano moral caso reste comprovado pelo segurado o agravamento da condição de saúde.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2"/>
              </w:numPr>
              <w:tabs>
                <w:tab w:val="left" w:pos="249"/>
              </w:tabs>
              <w:spacing w:line="160" w:lineRule="auto"/>
              <w:ind w:left="248" w:hanging="195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abusiva a negativa de custeio, pela operadora do plano de saúde, em casos de tratamento de fertilização in vitro, ainda que não exista previsão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contratual expressa.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Somente os itens I e III estão corretos.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Somente o item I está correto.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Todos os itens estão corretos.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Somente o item II está correto.</w:t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possível afirmar que a norma infraconstitucional anterior à Constituição vigente e com ela materialmente compatível: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 acordo com o princípio do tempus regit actum, será recepcionada pela constituição mas com eficácia contida, como foi o caso do</w:t>
            </w:r>
          </w:p>
          <w:p w:rsidR="00000000" w:rsidDel="00000000" w:rsidP="00000000" w:rsidRDefault="00000000" w:rsidRPr="00000000" w14:paraId="00000083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Código Tributário Nacional.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Não será recepcionada pela constituição atual e deve ser declarada inconstitucional.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E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9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Será considerada constitucional e deve ser considerada recepcionada pela nova ordem, independentemente de compatibilidade formal</w:t>
            </w:r>
          </w:p>
          <w:p w:rsidR="00000000" w:rsidDel="00000000" w:rsidP="00000000" w:rsidRDefault="00000000" w:rsidRPr="00000000" w14:paraId="000000A1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com a Constituição vigente.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Será recepcionada pelo novo texto constitucional e será plenamente eficaz, independentemente de compatibilidade formal com a</w:t>
            </w:r>
          </w:p>
          <w:p w:rsidR="00000000" w:rsidDel="00000000" w:rsidP="00000000" w:rsidRDefault="00000000" w:rsidRPr="00000000" w14:paraId="000000B5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Constituição anterior, tendo em vista a possibilidade de “constitucionalidade superveniente” admitida no direito brasileiro.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5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widowControl w:val="0"/>
              <w:spacing w:before="3" w:line="259" w:lineRule="auto"/>
              <w:ind w:left="54" w:right="36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Wesley foi acusado de ter praticado o crime de roubo em razão de ter subtraído mediante ameaça com o uso de uma arma de brinquedo o celular da vítima Catarina. Na Delegacia, o policial condutor da prisão apresentou a foto de Wesley registrada em seu celular para a vítima, a qual confirmou prontamente ter sido ele o autor do crime. Wesley nega a autoria do crime, afirmando estar trabalhando em outra localidade no momento dos fatos.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Considerando a situação apresentada e a jurisprudência dominante, aponte qual o enunciado correto.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No crime de roubo, a intimidação feita com arma de brinquedo autoriza o aumento da pena.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crime em comento deve ser desclassificado para furto, uma vez que a ameaça perpetrada com uso de arma de brinquedo não pode ser</w:t>
            </w:r>
          </w:p>
          <w:p w:rsidR="00000000" w:rsidDel="00000000" w:rsidP="00000000" w:rsidRDefault="00000000" w:rsidRPr="00000000" w14:paraId="000000E9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considerada ‘grave ameaça’, elementar do ilícito do art. 157.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A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F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widowControl w:val="0"/>
              <w:spacing w:before="3" w:line="259" w:lineRule="auto"/>
              <w:ind w:left="54" w:right="5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reconhecimento de pessoa, presencialmente ou por fotografia, realizado na fase do inquérito policial, apenas é apto, para identificar o réu e fixar a autoria delitiva, quando observadas as formalidades previstas no art. 226 do Código de Processo Penal e quando corroborado</w:t>
            </w:r>
          </w:p>
          <w:p w:rsidR="00000000" w:rsidDel="00000000" w:rsidP="00000000" w:rsidRDefault="00000000" w:rsidRPr="00000000" w14:paraId="000000FD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por outras provas colhidas na fase judicial, sob o crivo do contraditório e da ampla defesa.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Quando houver necessidade de fazer-se o reconhecimento de pessoa, a pessoa, cujo reconhecimento se pretender, será colocada ao</w:t>
            </w:r>
          </w:p>
          <w:p w:rsidR="00000000" w:rsidDel="00000000" w:rsidP="00000000" w:rsidRDefault="00000000" w:rsidRPr="00000000" w14:paraId="00000111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lado de outras sem qualquer critério de preferência, convidando-se quem tiver de fazer o reconhecimento a apontá-la.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1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2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9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A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Mário, argentino, e Mariana, brasileira, procuram a Defensoria Pública e informam que desejam se divorciar. Casados em regime de comunhão de bens,</w:t>
            </w:r>
          </w:p>
          <w:p w:rsidR="00000000" w:rsidDel="00000000" w:rsidP="00000000" w:rsidRDefault="00000000" w:rsidRPr="00000000" w14:paraId="0000012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não possuem filhos e juntos adquiriram um apartamento localizado em São Luís/MA e uma moto. A orientação jurídica a ser prestada no caso deve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9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A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competente o foro para a ação de divórcio, separação, anulação de casamento e reconhecimento ou dissolução de união estável no</w:t>
            </w:r>
          </w:p>
          <w:p w:rsidR="00000000" w:rsidDel="00000000" w:rsidP="00000000" w:rsidRDefault="00000000" w:rsidRPr="00000000" w14:paraId="0000013B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domicílio da mulher.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D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E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Nenhuma das assertivas anteriores.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5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7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58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que haja a homologação do divórcio ou separação consensual, deverá igualmente haver acordo sobre a partilha de bens, pois, caso</w:t>
            </w:r>
          </w:p>
          <w:p w:rsidR="00000000" w:rsidDel="00000000" w:rsidP="00000000" w:rsidRDefault="00000000" w:rsidRPr="00000000" w14:paraId="00000159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contrário, a ação de divórcio deverá ser judicializada.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A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6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C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Compete à autoridade judiciária brasileira, com exclusão de qualquer outra, em divórcio, proceder à partilha de bens situados no Brasil,</w:t>
            </w:r>
          </w:p>
          <w:p w:rsidR="00000000" w:rsidDel="00000000" w:rsidP="00000000" w:rsidRDefault="00000000" w:rsidRPr="00000000" w14:paraId="0000016D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ainda que o titular seja de nacionalidade estrangeira ou tenha domicílio fora do território nacional.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6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No que concerne à tutela provisória e ao mandado de segurança, assinale a alternativa 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3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94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tutela provisória requerida em caráter incidental independe do pagamento de custas.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F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Conforme a jurisprudência do STJ e a legislação pertinente, mandado de segurança pode ser impetrado contra ato de gestão comercial</w:t>
            </w:r>
          </w:p>
          <w:p w:rsidR="00000000" w:rsidDel="00000000" w:rsidP="00000000" w:rsidRDefault="00000000" w:rsidRPr="00000000" w14:paraId="000001A0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praticado por administrador de empresa pública.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vedado ao juiz conceder tutela provisória de urgência contra uma das partes sem que ela seja previamente ouvida.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B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teoria da encampação não pode ser aplicada no âmbito do mandado de segurança quando presentes, ainda que exista manifestação a</w:t>
            </w:r>
          </w:p>
          <w:p w:rsidR="00000000" w:rsidDel="00000000" w:rsidP="00000000" w:rsidRDefault="00000000" w:rsidRPr="00000000" w14:paraId="000001B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respeito do mérito nas informações prestadas.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7.0" w:type="dxa"/>
        <w:jc w:val="left"/>
        <w:tblInd w:w="117.0" w:type="dxa"/>
        <w:tblLayout w:type="fixed"/>
        <w:tblLook w:val="0000"/>
      </w:tblPr>
      <w:tblGrid>
        <w:gridCol w:w="485"/>
        <w:gridCol w:w="1459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1459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0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6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1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3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4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5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7">
      <w:pPr>
        <w:widowControl w:val="0"/>
        <w:spacing w:after="56" w:line="20" w:lineRule="auto"/>
        <w:ind w:left="101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19.0" w:type="dxa"/>
        <w:jc w:val="left"/>
        <w:tblInd w:w="605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8">
            <w:pPr>
              <w:widowControl w:val="0"/>
              <w:spacing w:before="5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princípio da independência funcional assegura que os membros da Defensoria Pública: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devem observar obrigatoriamente a Constituição Federal, inexistindo obrigatoriedade de observância das leis ordinárias e decretos em sua</w:t>
            </w:r>
          </w:p>
          <w:p w:rsidR="00000000" w:rsidDel="00000000" w:rsidP="00000000" w:rsidRDefault="00000000" w:rsidRPr="00000000" w14:paraId="000001D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atuação;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E2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1E3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4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são livres para o exercício de suas funções, não estando sujeitos a interferências de quaisquer órgãos internos ou externos.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7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podem propor a criação e extinção dos seus cargos;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9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A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podem atuar de acordo com sua livre consciência, não devendo ser responsabilizados pelo exercício irregular de suas funções;</w:t>
            </w:r>
          </w:p>
        </w:tc>
      </w:tr>
    </w:tbl>
    <w:p w:rsidR="00000000" w:rsidDel="00000000" w:rsidP="00000000" w:rsidRDefault="00000000" w:rsidRPr="00000000" w14:paraId="000001EB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C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D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2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3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4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5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7">
            <w:pPr>
              <w:widowControl w:val="0"/>
              <w:spacing w:before="3" w:line="259" w:lineRule="auto"/>
              <w:ind w:left="54" w:right="24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núcleo de Defesa do Consumidor da DPE/MA recebeu a denúncia que uma empresa local veiculou publicidade enganosa que continha informação parcialmente falsa, causando com isso danos a centenas de consumidores que adquiriram o produto objeto da referida publicidade. Acerca da situação</w:t>
            </w:r>
          </w:p>
          <w:p w:rsidR="00000000" w:rsidDel="00000000" w:rsidP="00000000" w:rsidRDefault="00000000" w:rsidRPr="00000000" w14:paraId="000001F8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hipotética narrada e à luz da jurisprudência do STF e do STJ, assinale a alternativa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1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4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caso narrado está relacionado à violação de direitos individuais homogêneos, que se caracterizam pela transindividualidade,</w:t>
            </w:r>
          </w:p>
          <w:p w:rsidR="00000000" w:rsidDel="00000000" w:rsidP="00000000" w:rsidRDefault="00000000" w:rsidRPr="00000000" w14:paraId="00000205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indivisibilidade e indeterminação de titularidade.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2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3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6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17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8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Defensoria Pública detém legitimidade ativa para ajuizar ação civil pública para a tutela de direitos individuais homogêneos por ser</w:t>
            </w:r>
          </w:p>
          <w:p w:rsidR="00000000" w:rsidDel="00000000" w:rsidP="00000000" w:rsidRDefault="00000000" w:rsidRPr="00000000" w14:paraId="00000219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instituição essencial à função jurisdicional e ao acesso à justiça.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2C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competência para ajuizar ação civil pública na defesa de direitos individuais homogêneos é exclusiva do Ministério Público, devendo a</w:t>
            </w:r>
          </w:p>
          <w:p w:rsidR="00000000" w:rsidDel="00000000" w:rsidP="00000000" w:rsidRDefault="00000000" w:rsidRPr="00000000" w14:paraId="0000022D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denúncia ser encaminhada à promotoria competente.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3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0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Defensoria Pública tem legitimidade para propor ação civil pública em defesa de interesses individuais homogêneos, desde que os</w:t>
            </w:r>
          </w:p>
          <w:p w:rsidR="00000000" w:rsidDel="00000000" w:rsidP="00000000" w:rsidRDefault="00000000" w:rsidRPr="00000000" w14:paraId="00000241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atingidos sejam carentes de recursos econômicos.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4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6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1"/>
            <w:gridCol w:w="486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2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3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7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A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B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5D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Sobre a classificação das constituições, é 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6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69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o alemão Carl Schmitt , "Constituição" seria a somatória dos fatores reais de poder dentro de uma sociedade, enquanto reflexo do</w:t>
            </w:r>
          </w:p>
          <w:p w:rsidR="00000000" w:rsidDel="00000000" w:rsidP="00000000" w:rsidRDefault="00000000" w:rsidRPr="00000000" w14:paraId="0000026A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embate das forças econômicas, sociais, políticas e religiosas de um Estado.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Peter Häberle define "Constituição" como sendo uma decisão política fundamental, cuja finalidade precípua é organizar e estruturar os</w:t>
            </w:r>
          </w:p>
          <w:p w:rsidR="00000000" w:rsidDel="00000000" w:rsidP="00000000" w:rsidRDefault="00000000" w:rsidRPr="00000000" w14:paraId="0000027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elementos essenciais do Estado.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8F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9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1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Karl Loewenstein classifica as Constituições, quanto à essência, em Normativas, Nominais e Semânticas.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98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A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9B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Ferdinand Lassalle define a Constituição como norma positiva suprema, dentro de um sistema escalonado e hierarquizado de normas, em</w:t>
            </w:r>
          </w:p>
          <w:p w:rsidR="00000000" w:rsidDel="00000000" w:rsidP="00000000" w:rsidRDefault="00000000" w:rsidRPr="00000000" w14:paraId="0000029C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que aquela serve de fundamento de validade para todas as demais.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C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D">
            <w:pPr>
              <w:widowControl w:val="0"/>
              <w:spacing w:before="7" w:line="151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AE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1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2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3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4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5">
            <w:pPr>
              <w:widowControl w:val="0"/>
              <w:spacing w:before="7" w:line="151" w:lineRule="auto"/>
              <w:ind w:left="237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B7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Manuela (10 anos) brincava de bola na área comum do condomínio edilício onde mora com seus pais, Andreia e Victor, quando o objeto atingiu a janela</w:t>
            </w:r>
          </w:p>
          <w:p w:rsidR="00000000" w:rsidDel="00000000" w:rsidP="00000000" w:rsidRDefault="00000000" w:rsidRPr="00000000" w14:paraId="000002B8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do salão de festas, danificando o vidro. De acordo com o Código Civil, assinale a única assertiva falsa: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Caberá reparação civil pelos danos causados por Manuela ao condomínio edilício.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9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CC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indenização a ser paga medir-se-á pela extensão do dano.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2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4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5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 houver excessiva desproporção entre a gravidade da culpa e o dano, poderá o juiz reduzir, eqüitativamente, a indenização.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B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DC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2DD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E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Os prejuízos causados devem ser ressarcidos por Manuela, ainda que estivesse sob a autoridade e em companhia de Andreia e Victor.</w:t>
            </w:r>
          </w:p>
        </w:tc>
      </w:tr>
    </w:tbl>
    <w:p w:rsidR="00000000" w:rsidDel="00000000" w:rsidP="00000000" w:rsidRDefault="00000000" w:rsidRPr="00000000" w14:paraId="000002E4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5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6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A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B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C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D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E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0">
            <w:pPr>
              <w:widowControl w:val="0"/>
              <w:spacing w:before="3" w:line="259" w:lineRule="auto"/>
              <w:ind w:left="54" w:right="16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Em razão de supostas denúncias anônimas que relatavam a ocorrência de tráfico na residência de Rosa, os policiais realizaram busca no imóvel tendo encontrado no quintal uma muda de maconha. De acordo com os depoimentos dos policiais, a entrada no domicílio teria sido autorizada por Rosa. Esta, por sua vez, afirma que estava dormindo no momento da entrada dos agentes. À luz do entendimento dos tribunais superiores sobre o tema, indique a</w:t>
            </w:r>
          </w:p>
          <w:p w:rsidR="00000000" w:rsidDel="00000000" w:rsidP="00000000" w:rsidRDefault="00000000" w:rsidRPr="00000000" w14:paraId="000002F1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afirmativa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widowControl w:val="0"/>
              <w:spacing w:before="3" w:line="259" w:lineRule="auto"/>
              <w:ind w:left="54" w:right="2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Supremo Tribunal Federal definiu, em repercussão geral (Tema 280), que o ingresso forçado em domicílio sem mandado judicial apenas se revela legítimo – a qualquer hora do dia, inclusive durante o período noturno – quando amparado em fundadas razões, devidamente</w:t>
            </w:r>
          </w:p>
          <w:p w:rsidR="00000000" w:rsidDel="00000000" w:rsidP="00000000" w:rsidRDefault="00000000" w:rsidRPr="00000000" w14:paraId="000002FE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justificadas pelas circunstâncias do caso concreto, que indiquem estar ocorrendo, no interior da casa, situação de flagrante delito.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9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B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C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D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1">
            <w:pPr>
              <w:widowControl w:val="0"/>
              <w:spacing w:before="3" w:line="259" w:lineRule="auto"/>
              <w:ind w:left="54" w:right="213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prova da legalidade e da voluntariedade do consentimento para o ingresso na residência do suspeito incumbe, em caso de dúvida, ao Estado, e deve ser feita com declaração assinada pela pessoa que autorizou o ingresso domiciliar, indicando-se, sempre que possível,</w:t>
            </w:r>
          </w:p>
          <w:p w:rsidR="00000000" w:rsidDel="00000000" w:rsidP="00000000" w:rsidRDefault="00000000" w:rsidRPr="00000000" w14:paraId="00000312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testemunhas do ato. Em todo caso, a operação deve ser registrada em áudio-vídeo e preservada tal prova enquanto durar o processo.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D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E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1F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1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4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25">
            <w:pPr>
              <w:widowControl w:val="0"/>
              <w:spacing w:before="3" w:line="259" w:lineRule="auto"/>
              <w:ind w:left="54" w:right="8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art. 5º, XI, da Constituição Federal consagrou o direito fundamental à inviolabilidade do domicílio, ao dispor que a casa é asilo inviolável do indivíduo, ninguém nela podendo penetrar sem consentimento do morador, salvo em caso de flagrante delito ou desastre, ou para</w:t>
            </w:r>
          </w:p>
          <w:p w:rsidR="00000000" w:rsidDel="00000000" w:rsidP="00000000" w:rsidRDefault="00000000" w:rsidRPr="00000000" w14:paraId="00000326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prestar socorro, ou, durante o dia, por determinação judicial.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1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2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3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4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5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37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3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3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tráfico ilícito de entorpecentes, por ser classificado como crime de natureza permanente, autoriza a entrada sem mandado no domicílio.</w:t>
            </w:r>
          </w:p>
        </w:tc>
      </w:tr>
    </w:tbl>
    <w:p w:rsidR="00000000" w:rsidDel="00000000" w:rsidP="00000000" w:rsidRDefault="00000000" w:rsidRPr="00000000" w14:paraId="00000340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1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11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6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7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8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9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A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C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Jonathan, 17 anos de idade, foi apreendido levando consigo, em sua mochila, 10 ‘buchas’ de maconha. Sobre a situação narrada, marque a alternativa</w:t>
            </w:r>
          </w:p>
          <w:p w:rsidR="00000000" w:rsidDel="00000000" w:rsidP="00000000" w:rsidRDefault="00000000" w:rsidRPr="00000000" w14:paraId="0000034D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6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59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ato infracional praticado por Jonathan é considerado hediondo, portanto, caso julgada procedente a ação, deverá iniciar o cumprimento</w:t>
            </w:r>
          </w:p>
          <w:p w:rsidR="00000000" w:rsidDel="00000000" w:rsidP="00000000" w:rsidRDefault="00000000" w:rsidRPr="00000000" w14:paraId="0000035A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da medida em regime fechado.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6D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Considerando a gravidade da infração praticada, Jonathan poderá ser submetido a medida de internação.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4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75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76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7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medida eventualmente aplicada a Jonathan levará em conta a sua capacidade de cumpri-la, as circunstâncias e a gravidade da infração.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7E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1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Jonathan deverá ser submetido à audiência de custódia em até 24h da data da sua apreensão.</w:t>
            </w:r>
          </w:p>
        </w:tc>
      </w:tr>
    </w:tbl>
    <w:p w:rsidR="00000000" w:rsidDel="00000000" w:rsidP="00000000" w:rsidRDefault="00000000" w:rsidRPr="00000000" w14:paraId="00000388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9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12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A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E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8F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0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1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2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4">
            <w:pPr>
              <w:widowControl w:val="0"/>
              <w:spacing w:before="3" w:line="259" w:lineRule="auto"/>
              <w:ind w:left="54" w:right="347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Jorge, após assistir a entrevista de uma Defensora Pública sobre direito do consumidor, procurou a Defensoria para relatar o que segue: ao tentar matricular seu filho, Pablo, criança autista, em determinada escola privada de São Luís, a diretora informou que não havia professores especializados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acompanhá-lo durante as aulas. Desta forma, o pedido de matrícula foi negado. No caso hipotético, a orientação adequada é: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E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1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dever exclusivamente do Estado oferecer atendimento educacional especializado aos alunos com deficiência, de modo que não há</w:t>
            </w:r>
          </w:p>
          <w:p w:rsidR="00000000" w:rsidDel="00000000" w:rsidP="00000000" w:rsidRDefault="00000000" w:rsidRPr="00000000" w14:paraId="000003A2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obrigação da instituição privada aceitar a matrícula de Pablo.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A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4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5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escola privada não deve recusar a matrícula de Pablo pela ausência de professor/a capacitado, pois é responsabilidade dos pais</w:t>
            </w:r>
          </w:p>
          <w:p w:rsidR="00000000" w:rsidDel="00000000" w:rsidP="00000000" w:rsidRDefault="00000000" w:rsidRPr="00000000" w14:paraId="000003B6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garantir e custear o acompanhamento da criança por profissional da área.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2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3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4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C9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Por se tratar de escola privada, o gestor possui liberdade para recusar a matrícula de qualquer interessado, levando em consideração os</w:t>
            </w:r>
          </w:p>
          <w:p w:rsidR="00000000" w:rsidDel="00000000" w:rsidP="00000000" w:rsidRDefault="00000000" w:rsidRPr="00000000" w14:paraId="000003CA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interesses do estabelecimento.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5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DB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3D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D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As escolas privadas têm a obrigatoriedade de ofertar atendimento educacional adequado e inclusivo a?s pessoas com deficie?ncia, não</w:t>
            </w:r>
          </w:p>
          <w:p w:rsidR="00000000" w:rsidDel="00000000" w:rsidP="00000000" w:rsidRDefault="00000000" w:rsidRPr="00000000" w14:paraId="000003D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devendo recusar a matrícula de Pablo por ser autista.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E">
      <w:pPr>
        <w:widowControl w:val="0"/>
        <w:spacing w:before="1" w:line="240" w:lineRule="auto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rPr>
          <w:rFonts w:ascii="Times New Roman" w:cs="Times New Roman" w:eastAsia="Times New Roman" w:hAnsi="Times New Roman"/>
          <w:sz w:val="3"/>
          <w:szCs w:val="3"/>
        </w:rPr>
        <mc:AlternateContent>
          <mc:Choice Requires="wpg"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9534525</wp:posOffset>
                </wp:positionV>
                <wp:extent cx="12700" cy="7810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41300"/>
                          <a:ext cx="0" cy="774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905" distT="1905" distL="116205" distR="116205" hidden="0" layoutInCell="1" locked="0" relativeHeight="0" simplePos="0">
                <wp:simplePos x="0" y="0"/>
                <wp:positionH relativeFrom="page">
                  <wp:posOffset>7013575</wp:posOffset>
                </wp:positionH>
                <wp:positionV relativeFrom="page">
                  <wp:posOffset>9534525</wp:posOffset>
                </wp:positionV>
                <wp:extent cx="12700" cy="78105"/>
                <wp:effectExtent b="0" l="0" r="0" t="0"/>
                <wp:wrapNone/>
                <wp:docPr id="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78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EF">
            <w:pPr>
              <w:widowControl w:val="0"/>
              <w:spacing w:before="29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0">
            <w:pPr>
              <w:widowControl w:val="0"/>
              <w:spacing w:before="29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3">
            <w:pPr>
              <w:widowControl w:val="0"/>
              <w:spacing w:before="29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4">
            <w:pPr>
              <w:widowControl w:val="0"/>
              <w:spacing w:before="29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5">
            <w:pPr>
              <w:widowControl w:val="0"/>
              <w:spacing w:before="29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6">
            <w:pPr>
              <w:widowControl w:val="0"/>
              <w:spacing w:before="29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7">
            <w:pPr>
              <w:widowControl w:val="0"/>
              <w:spacing w:before="29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F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Considerando o entendimento dos Tribunais Superiores, assinale a assertiva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1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3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4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Com exceção da contravenção penal de vias de fato, as demais são perseguidas mediante ação penal pública incondicionada.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0D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Nos crimes contra os idosos não se admite a aplicação da Lei 9.099/95.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3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14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15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6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prisão simples jamais será cumprida em regime fechado, nem mesmo por meio da regressão.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C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E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1F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crime de injúria racial, por não ser racismo, não é imprescritível.</w:t>
            </w:r>
          </w:p>
        </w:tc>
      </w:tr>
    </w:tbl>
    <w:p w:rsidR="00000000" w:rsidDel="00000000" w:rsidP="00000000" w:rsidRDefault="00000000" w:rsidRPr="00000000" w14:paraId="00000425">
      <w:pPr>
        <w:widowControl w:val="0"/>
        <w:spacing w:after="1"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6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14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7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B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C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D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E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F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1">
            <w:pPr>
              <w:widowControl w:val="0"/>
              <w:spacing w:before="3" w:line="259" w:lineRule="auto"/>
              <w:ind w:left="54" w:right="21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Maria possui dois filhos com José. Pedro com dois anos e Samir com dezoito anos. Nenhuma das crianças possui o nome do pai no registro. Realizada sessão de conciliação na Defensoria Pública, José reconheceu apenas Pedro, tendo sido fixado alimentos em favor do infante no percentual de 15% (quinze por cento) do salário mínimo. Em relação a Samir, José solicitou a realização de exame de DNA. Sobre a situação mencionada, assinale a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alternativa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B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D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3E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Considerando a ausência de reconhecimento espontâneo em relação a Samir, pode ser ajuizada Ação de Reconhecimento de</w:t>
            </w:r>
          </w:p>
          <w:p w:rsidR="00000000" w:rsidDel="00000000" w:rsidP="00000000" w:rsidRDefault="00000000" w:rsidRPr="00000000" w14:paraId="0000043F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Paternidade em desfavor de José.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4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50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51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2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Os alimentos acordados em relação a Pedro somente poderão ser cobrados após a homologação do acordo pelo juízo competente.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59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5C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reconhecimento espontâneo de paternidade realizado por José em relação a Pedro pode ser imediatamente encaminhado ao cartório</w:t>
            </w:r>
          </w:p>
          <w:p w:rsidR="00000000" w:rsidDel="00000000" w:rsidP="00000000" w:rsidRDefault="00000000" w:rsidRPr="00000000" w14:paraId="0000045D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que sejam realizadas as averbações necessárias.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6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0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Na ação de Reconhecimento de Paternidade, Samir será a parte autora, uma vez já ter atingido a maioridade.</w:t>
            </w:r>
          </w:p>
        </w:tc>
      </w:tr>
    </w:tbl>
    <w:p w:rsidR="00000000" w:rsidDel="00000000" w:rsidP="00000000" w:rsidRDefault="00000000" w:rsidRPr="00000000" w14:paraId="00000477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8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15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9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D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E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7F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0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1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3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Jéssica, sem registros criminais anteriores, foi presa em flagrante em razão de ter subtraído duas cartelas de ovo do Supermercado Compre Bem. A</w:t>
            </w:r>
          </w:p>
          <w:p w:rsidR="00000000" w:rsidDel="00000000" w:rsidP="00000000" w:rsidRDefault="00000000" w:rsidRPr="00000000" w14:paraId="00000484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respeito da audiência de custódia e da prisão cautelar, marque a afirmativa incorreta.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D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0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apresentação de Jéssica à autoridade judicial competente deve acontecer em até 24 horas da comunicação do flagrante.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7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9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9A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Antes da audiência de custódia, Jéssica tem o direito de ser atendida prévia e reservadamente por um defensor público, sem a presença</w:t>
            </w:r>
          </w:p>
          <w:p w:rsidR="00000000" w:rsidDel="00000000" w:rsidP="00000000" w:rsidRDefault="00000000" w:rsidRPr="00000000" w14:paraId="0000049B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 agentes policiais.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6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D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AE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defesa de Jéssica poderá pleitear a concessão de liberdade provisória com fundamento na ausência de violência ou grave ameaça e</w:t>
            </w:r>
          </w:p>
          <w:p w:rsidR="00000000" w:rsidDel="00000000" w:rsidP="00000000" w:rsidRDefault="00000000" w:rsidRPr="00000000" w14:paraId="000004AF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inexistência de registros criminais.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B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C0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C1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2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Na audiência de custódia, Jéssica deverá ser ouvida sobre os fatos e as circunstâncias em que se realizou sua prisão ou apreensão.</w:t>
            </w:r>
          </w:p>
        </w:tc>
      </w:tr>
    </w:tbl>
    <w:p w:rsidR="00000000" w:rsidDel="00000000" w:rsidP="00000000" w:rsidRDefault="00000000" w:rsidRPr="00000000" w14:paraId="000004C9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A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B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16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CC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0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1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2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3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4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D6">
            <w:pPr>
              <w:widowControl w:val="0"/>
              <w:spacing w:before="3" w:line="259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Fátima, mulher trans, 19 anos, procurou a Defensoria Pública relatando que deseja alterar seu prenome e gênero em sua documentação. Contudo, ao chegar no Cartório, foi informada que deveria ajuizar uma ação de retificação de registro, pois a alteração extrajudicial somente pode ser realizada nos casos em que há comprovação da cirurgia de readequação sexual. Considerando as informações prestadas, marque a alternativa que indica a orientação</w:t>
            </w:r>
          </w:p>
          <w:p w:rsidR="00000000" w:rsidDel="00000000" w:rsidP="00000000" w:rsidRDefault="00000000" w:rsidRPr="00000000" w14:paraId="000004D7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ser prestada para Maria: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Maria deve esperar até os 21 anos para solicitar judicialmente a retificação do seu registro.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EB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4E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ED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cartório não pode negar a alteração da retificação extrajudicial de Maria, conforme provimento do CNJ. Cabe assim, oficiar o cartório</w:t>
            </w:r>
          </w:p>
          <w:p w:rsidR="00000000" w:rsidDel="00000000" w:rsidP="00000000" w:rsidRDefault="00000000" w:rsidRPr="00000000" w14:paraId="000004EE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solicitando esclarecimentos e, em caso de recusa, apresentar um Pedido de Providências 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F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C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4F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F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1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Deve ser ajuizada a ação de alteração de registro, uma vez que Maria não realizou a cirurgia de readequação sexual.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08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A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0B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cartório não pode negar a alteração da retificação extrajudicial, inclusive de menores de 18 (dezoito) anos.</w:t>
            </w:r>
          </w:p>
        </w:tc>
      </w:tr>
    </w:tbl>
    <w:p w:rsidR="00000000" w:rsidDel="00000000" w:rsidP="00000000" w:rsidRDefault="00000000" w:rsidRPr="00000000" w14:paraId="00000512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3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17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4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8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9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A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B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C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1E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filho de Amanda, Paulo, faleceu em razão da pandemia de COVID-19. Em razão disso, a mesma pretende criar uma fundação em sua memória. A</w:t>
            </w:r>
          </w:p>
          <w:p w:rsidR="00000000" w:rsidDel="00000000" w:rsidP="00000000" w:rsidRDefault="00000000" w:rsidRPr="00000000" w14:paraId="0000051F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respeito das fundações, assinale a alternativa incorreta: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8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A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2B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 o estatuto não for elaborado no prazo assinado pelo instituidor, ou, não havendo prazo, em cento e oitenta dias, a incumbência caberá</w:t>
            </w:r>
          </w:p>
          <w:p w:rsidR="00000000" w:rsidDel="00000000" w:rsidP="00000000" w:rsidRDefault="00000000" w:rsidRPr="00000000" w14:paraId="0000052C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ao Ministério Público.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3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7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8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9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A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B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3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E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3F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Amanda poderá constituir a fundação através da dotação especial de bens livres, especificando o fim a que se destina.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46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47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4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4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No momento da constituição da fundação, Amanda deverá obrigatoriamente declarar a maneira de administrá-la.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5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fundação constituída em memória de Paulo poderá ter como fim a assistência social.</w:t>
            </w:r>
          </w:p>
        </w:tc>
      </w:tr>
    </w:tbl>
    <w:p w:rsidR="00000000" w:rsidDel="00000000" w:rsidP="00000000" w:rsidRDefault="00000000" w:rsidRPr="00000000" w14:paraId="0000055A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B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18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5C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0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1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2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3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4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66">
            <w:pPr>
              <w:widowControl w:val="0"/>
              <w:spacing w:before="3" w:line="259" w:lineRule="auto"/>
              <w:ind w:left="54" w:right="17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Lucas, pai de Lara (5 anos) e Jade (7 anos), acredita que as vacinas são nocivas para suas filhas e optou por não realizar a imunização das crianças, conforme previsto no calendário nacional de vacional. Após saber que a escola das suas filhas reportou ao Conselho Tutelar que Lara e Jade não foram vacinadas, Lucas procurou a Defensoria Pública para que fosse ajuizada ação alegando o seu direito de não vacinar as filhas. Na situação narrada, a</w:t>
            </w:r>
          </w:p>
          <w:p w:rsidR="00000000" w:rsidDel="00000000" w:rsidP="00000000" w:rsidRDefault="00000000" w:rsidRPr="00000000" w14:paraId="00000567">
            <w:pPr>
              <w:widowControl w:val="0"/>
              <w:spacing w:line="145.9999999999999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orientação adequada deve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legítima a recusa de Lucas em vacinar as filhas, pois se trata do exercício do seu poder parental.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A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C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7D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ilegítima a recusa de Lucas em vacinar as filhas, em que pese não existir previsão da obrigatoriedade em diplomas legai.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4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6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7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legítima a recusa de Lucas em vacinar as filhas, em respeito à sua convicção filosófica.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8E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8F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9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1">
            <w:pPr>
              <w:widowControl w:val="0"/>
              <w:spacing w:before="3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ilegítima a recusa de Lucas em vacinar as filhas, pois não se caracteriza violação à liberdade de consciência e de convicção filosófica do</w:t>
            </w:r>
          </w:p>
          <w:p w:rsidR="00000000" w:rsidDel="00000000" w:rsidP="00000000" w:rsidRDefault="00000000" w:rsidRPr="00000000" w14:paraId="00000592">
            <w:pPr>
              <w:widowControl w:val="0"/>
              <w:spacing w:before="14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pai, nem tampouco ao poder familiar.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5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D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E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9F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0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1">
            <w:pPr>
              <w:widowControl w:val="0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2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207.0" w:type="dxa"/>
        <w:jc w:val="left"/>
        <w:tblInd w:w="117.0" w:type="dxa"/>
        <w:tblLayout w:type="fixed"/>
        <w:tblLook w:val="0000"/>
      </w:tblPr>
      <w:tblGrid>
        <w:gridCol w:w="485"/>
        <w:gridCol w:w="1459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1459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3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19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4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5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6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7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8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9">
            <w:pPr>
              <w:widowControl w:val="0"/>
              <w:spacing w:before="7" w:line="151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A">
      <w:pPr>
        <w:widowControl w:val="0"/>
        <w:spacing w:after="56" w:line="20" w:lineRule="auto"/>
        <w:ind w:left="101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B">
            <w:pPr>
              <w:widowControl w:val="0"/>
              <w:spacing w:before="5" w:line="147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frase “ninguém será processado nem sentenciado senão pela autoridade competente” diz respeito ao princípio: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AF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0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Impessoalidade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B1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B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Juiz Natural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5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6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Defensor Natural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8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9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Legalidade</w:t>
            </w:r>
          </w:p>
        </w:tc>
      </w:tr>
    </w:tbl>
    <w:p w:rsidR="00000000" w:rsidDel="00000000" w:rsidP="00000000" w:rsidRDefault="00000000" w:rsidRPr="00000000" w14:paraId="000005BA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widowControl w:val="0"/>
        <w:spacing w:before="1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208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9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9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C">
            <w:pPr>
              <w:widowControl w:val="0"/>
              <w:spacing w:before="7" w:line="151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BD">
            <w:pPr>
              <w:widowControl w:val="0"/>
              <w:spacing w:before="7" w:line="151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0">
            <w:pPr>
              <w:widowControl w:val="0"/>
              <w:spacing w:before="7" w:line="151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1">
            <w:pPr>
              <w:widowControl w:val="0"/>
              <w:spacing w:before="7" w:line="151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2">
            <w:pPr>
              <w:widowControl w:val="0"/>
              <w:spacing w:before="7" w:line="151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3">
            <w:pPr>
              <w:widowControl w:val="0"/>
              <w:spacing w:before="7" w:line="151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4">
            <w:pPr>
              <w:widowControl w:val="0"/>
              <w:spacing w:before="7" w:line="151" w:lineRule="auto"/>
              <w:ind w:left="237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6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Marcos pretende comprar uma casa de David. Sobre o contrato de compra e venda, assinale a assertiva correta.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E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0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1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compra e venda, quando pura, considerar-se-á obrigatória e perfeita, desde que Marcos e David registrem o contrato em cartório.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7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9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DA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válido o contrato de compra e venda, quando se deixa ao arbítrio exclusivo de uma das partes a fixação do preço.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0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E1">
            <w:pPr>
              <w:widowControl w:val="0"/>
              <w:spacing w:before="7" w:line="151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E2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3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Pelo contrato de compra e venda, David se obrigará a transferir o domínio da casa, e Marcos, a pagar-lhe certo preço em dinheiro.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9">
            <w:pPr>
              <w:widowControl w:val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B">
            <w:pPr>
              <w:widowControl w:val="0"/>
              <w:spacing w:before="7" w:line="151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EC">
            <w:pPr>
              <w:widowControl w:val="0"/>
              <w:spacing w:before="3" w:line="155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É ilícito às partes fixar o preço em função de índices ou parâmetros, desde que suscetíveis de objetiva determinação.</w:t>
            </w:r>
          </w:p>
        </w:tc>
      </w:tr>
    </w:tbl>
    <w:p w:rsidR="00000000" w:rsidDel="00000000" w:rsidP="00000000" w:rsidRDefault="00000000" w:rsidRPr="00000000" w14:paraId="000005F2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3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4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208.0" w:type="dxa"/>
        <w:jc w:val="left"/>
        <w:tblInd w:w="117.0" w:type="dxa"/>
        <w:tblLayout w:type="fixed"/>
        <w:tblLook w:val="0000"/>
      </w:tblPr>
      <w:tblGrid>
        <w:gridCol w:w="10208"/>
        <w:tblGridChange w:id="0">
          <w:tblGrid>
            <w:gridCol w:w="10208"/>
          </w:tblGrid>
        </w:tblGridChange>
      </w:tblGrid>
      <w:tr>
        <w:trPr>
          <w:cantSplit w:val="0"/>
          <w:trHeight w:val="239.6730957031249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5F5">
            <w:pPr>
              <w:widowControl w:val="0"/>
              <w:spacing w:after="0" w:before="0" w:line="240" w:lineRule="auto"/>
              <w:ind w:left="54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Prova - Graduação (Arquitetura)</w:t>
            </w:r>
          </w:p>
        </w:tc>
      </w:tr>
    </w:tbl>
    <w:p w:rsidR="00000000" w:rsidDel="00000000" w:rsidP="00000000" w:rsidRDefault="00000000" w:rsidRPr="00000000" w14:paraId="000005F6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7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8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1 S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5F9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ANULADA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2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As curvas de nível existentes e projetadas contidas em um projeto de uma indústria a ser aprovado pelo órgão público competente deve estar contido na</w:t>
            </w:r>
          </w:p>
          <w:p w:rsidR="00000000" w:rsidDel="00000000" w:rsidP="00000000" w:rsidRDefault="00000000" w:rsidRPr="00000000" w14:paraId="0000060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Planta de: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0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Edificação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5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Implantação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1F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Situação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8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29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Locação</w:t>
            </w:r>
          </w:p>
        </w:tc>
      </w:tr>
    </w:tbl>
    <w:p w:rsidR="00000000" w:rsidDel="00000000" w:rsidP="00000000" w:rsidRDefault="00000000" w:rsidRPr="00000000" w14:paraId="0000062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0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1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4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5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6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7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8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3A">
            <w:pPr>
              <w:widowControl w:val="0"/>
              <w:spacing w:after="0" w:before="0" w:line="240" w:lineRule="auto"/>
              <w:ind w:left="54" w:right="14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NR 18 preconiza que as instalações sanitárias devem ser constituídas de pelo menos lavatório, vaso sanitário, mictório e chuveiro, em quantidades proporcionais ao número de operários. Para um canteiro de obras em que trabalham 100 colaboradores, assinale a alternativa que indica corretamente a</w:t>
            </w:r>
          </w:p>
          <w:p w:rsidR="00000000" w:rsidDel="00000000" w:rsidP="00000000" w:rsidRDefault="00000000" w:rsidRPr="00000000" w14:paraId="0000063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quantidade mínima para dois desses elementos: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44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45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 lavatórios e 10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E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4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 vasos sanitários e 5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7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8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 lavatórios e 5 chuveiros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5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0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 vasos sanitários e 10 lavatórios</w:t>
            </w:r>
          </w:p>
        </w:tc>
      </w:tr>
    </w:tbl>
    <w:p w:rsidR="00000000" w:rsidDel="00000000" w:rsidP="00000000" w:rsidRDefault="00000000" w:rsidRPr="00000000" w14:paraId="00000667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8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9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C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D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E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6F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0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2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 acordo com a NBR-9050 — Acessibilidade a edificações, mobiliário, espaços e equipamentos urbanos — as portas de giro, de correr, sanfonadas ou</w:t>
            </w:r>
          </w:p>
          <w:p w:rsidR="00000000" w:rsidDel="00000000" w:rsidP="00000000" w:rsidRDefault="00000000" w:rsidRPr="00000000" w14:paraId="0000067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articuladas, quando abertas, devem ter um vão livre, de no mínimo: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7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0,90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85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8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0,80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8F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1,00 m de largura por 2,10 m de altura.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8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99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0,70 m de largura por 2,10 m de altura.</w:t>
            </w:r>
          </w:p>
        </w:tc>
      </w:tr>
    </w:tbl>
    <w:p w:rsidR="00000000" w:rsidDel="00000000" w:rsidP="00000000" w:rsidRDefault="00000000" w:rsidRPr="00000000" w14:paraId="0000069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0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1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2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3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4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5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6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38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361950</wp:posOffset>
                  </wp:positionV>
                  <wp:extent cx="2042160" cy="2183765"/>
                  <wp:effectExtent b="0" l="0" r="0" t="0"/>
                  <wp:wrapSquare wrapText="bothSides" distB="0" distT="0" distL="0" distR="0"/>
                  <wp:docPr id="8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21837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A8">
            <w:pPr>
              <w:widowControl w:val="0"/>
              <w:spacing w:after="0" w:before="0" w:line="240" w:lineRule="auto"/>
              <w:ind w:left="0" w:right="392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Considerando os croquis de partidos arquitetônicos e construtivos mostrados nas figuras I e II precedentes e a frase “Arquiteto não rabisca, arquiteto risca.”, de Lucio Costa, julgue os itens seguintes, como CERTO( C) ou ERRADO (E) e marque a alternativa correta.</w:t>
            </w:r>
          </w:p>
        </w:tc>
      </w:tr>
    </w:tbl>
    <w:p w:rsidR="00000000" w:rsidDel="00000000" w:rsidP="00000000" w:rsidRDefault="00000000" w:rsidRPr="00000000" w14:paraId="000006AE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0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1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2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4"/>
          <w:szCs w:val="14"/>
        </w:rPr>
        <w:sectPr>
          <w:headerReference r:id="rId9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480810" cy="12700"/>
                <wp:effectExtent b="0" l="0" r="0" t="0"/>
                <wp:wrapTopAndBottom distB="5080" distT="508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06000" y="3780000"/>
                          <a:ext cx="6480000" cy="0"/>
                        </a:xfrm>
                        <a:prstGeom prst="straightConnector1">
                          <a:avLst/>
                        </a:prstGeom>
                        <a:noFill/>
                        <a:ln cap="flat" cmpd="sng" w="108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080" distT="5080" distL="5080" distR="5080" hidden="0" layoutInCell="1" locked="0" relativeHeight="0" simplePos="0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480810" cy="12700"/>
                <wp:effectExtent b="0" l="0" r="0" t="0"/>
                <wp:wrapTopAndBottom distB="5080" distT="508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6B3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4">
      <w:pPr>
        <w:widowControl w:val="0"/>
        <w:spacing w:after="0" w:before="0" w:line="240" w:lineRule="auto"/>
        <w:ind w:left="101" w:firstLine="0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mc:AlternateContent>
          <mc:Choice Requires="wpg">
            <w:drawing>
              <wp:inline distB="0" distT="0" distL="114300" distR="114300">
                <wp:extent cx="6480810" cy="63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06000" y="3780000"/>
                          <a:ext cx="6480810" cy="635"/>
                          <a:chOff x="2106000" y="3780000"/>
                          <a:chExt cx="6480000" cy="720"/>
                        </a:xfrm>
                      </wpg:grpSpPr>
                      <wpg:grpSp>
                        <wpg:cNvGrpSpPr/>
                        <wpg:grpSpPr>
                          <a:xfrm>
                            <a:off x="2106000" y="3780000"/>
                            <a:ext cx="6480000" cy="720"/>
                            <a:chOff x="0" y="-720"/>
                            <a:chExt cx="6480000" cy="72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-720"/>
                              <a:ext cx="64800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0"/>
                              <a:ext cx="648000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08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480810" cy="635"/>
                <wp:effectExtent b="0" l="0" r="0" t="0"/>
                <wp:docPr id="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810" cy="63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9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733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5">
            <w:pPr>
              <w:widowControl w:val="0"/>
              <w:spacing w:after="0" w:before="0" w:line="240" w:lineRule="auto"/>
              <w:ind w:right="314"/>
              <w:jc w:val="both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C ) A figura I trata de um partido de níveis com quatro pavimentos mais o térreo em um corte típico, incluindo um destaque da parte atípica das lajes. ( E ) A figura II trata do partido estrutural com o emprego de treliças em uma edificação, com o destaque de um apoio descentralizado e um balanço à direita da imagem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B8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B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C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D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BF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C,C</w:t>
            </w:r>
          </w:p>
        </w:tc>
      </w:tr>
    </w:tbl>
    <w:p w:rsidR="00000000" w:rsidDel="00000000" w:rsidP="00000000" w:rsidRDefault="00000000" w:rsidRPr="00000000" w14:paraId="000006C4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5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6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9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A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B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C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D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C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Em busca de conferir maior conforto aos usuários, as medidas do corpo humano devem ser consideradas nas edificações. Nesse sentido, considerando o</w:t>
            </w:r>
          </w:p>
          <w:p w:rsidR="00000000" w:rsidDel="00000000" w:rsidP="00000000" w:rsidRDefault="00000000" w:rsidRPr="00000000" w14:paraId="000006D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padrão brasileiro, julgue o item subseqüente. Qual deve ser a altura de uma bancada de banheiro e/ou pia de cozinha?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D9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6DA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D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80cm a 90cm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3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70cm a 80cm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C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ED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95cm a 100cm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5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70cm a 75cm</w:t>
            </w:r>
          </w:p>
        </w:tc>
      </w:tr>
    </w:tbl>
    <w:p w:rsidR="00000000" w:rsidDel="00000000" w:rsidP="00000000" w:rsidRDefault="00000000" w:rsidRPr="00000000" w14:paraId="000006FC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D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6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6FE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1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2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3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4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5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0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Respeitando a fórmula de Blondel, se uma escada deve vencer o vão de 3,15m e tem 18 degraus, quais poderiam ser as medidas do piso e do espelho,</w:t>
            </w:r>
          </w:p>
          <w:p w:rsidR="00000000" w:rsidDel="00000000" w:rsidP="00000000" w:rsidRDefault="00000000" w:rsidRPr="00000000" w14:paraId="00000708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respectivamente?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30cm e 18cm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1A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1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1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28cm e 17,5cm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29cm e 18cm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2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31cm e 17,5cm</w:t>
            </w:r>
          </w:p>
        </w:tc>
      </w:tr>
    </w:tbl>
    <w:p w:rsidR="00000000" w:rsidDel="00000000" w:rsidP="00000000" w:rsidRDefault="00000000" w:rsidRPr="00000000" w14:paraId="00000734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5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6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9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A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B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C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D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3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Conforme a norma NBR 6492, na fase de anteprojeto, NÃO faz parte do conjunto de conteúdos mínimos necessários da planta de situação: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4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indicação das áreas a serem edificadas.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51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5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eixos do projeto.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5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indicação do Norte.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curvas de nível existentes e projetadas, além de eventual sistema de coordenadas referenciais.</w:t>
            </w:r>
          </w:p>
        </w:tc>
      </w:tr>
    </w:tbl>
    <w:p w:rsidR="00000000" w:rsidDel="00000000" w:rsidP="00000000" w:rsidRDefault="00000000" w:rsidRPr="00000000" w14:paraId="0000076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C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6D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0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1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2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3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4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Sobre planta baixa, é INCORRETO afirmar que: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7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0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mostra a configuração das paredes, a forma e as dimensões dos espaços, as portas e janelas.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88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8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8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mostra as divisas legais do lote e a topografia do terreno.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plano de corte horizontal que a origina costuma ser feito a uma altura aproximada de 1,20m a 1,50m acima do piso.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9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serve de base para a execução dos cortes e fachadas.</w:t>
            </w:r>
          </w:p>
        </w:tc>
      </w:tr>
    </w:tbl>
    <w:p w:rsidR="00000000" w:rsidDel="00000000" w:rsidP="00000000" w:rsidRDefault="00000000" w:rsidRPr="00000000" w14:paraId="000007A2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</w:rPr>
        <w:sectPr>
          <w:type w:val="nextPage"/>
          <w:pgSz w:h="16834" w:w="11909" w:orient="portrait"/>
          <w:pgMar w:bottom="460" w:top="140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A3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4">
            <w:pPr>
              <w:widowControl w:val="0"/>
              <w:spacing w:after="0" w:before="0" w:line="240" w:lineRule="auto"/>
              <w:ind w:left="2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5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8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9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A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B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C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AE">
            <w:pPr>
              <w:widowControl w:val="0"/>
              <w:spacing w:after="0" w:before="0" w:line="240" w:lineRule="auto"/>
              <w:ind w:left="54" w:right="212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Julgue os próximos itens, a respeito de sistemas estruturais, CERTO( C) ou ERRADO (E) e marque a alternativa correta. ( E ) Entre os diferentes tipos existentes de laje de concreto, as lajes cogumelo se destacam pela hierarquia estrutural.</w:t>
            </w:r>
          </w:p>
          <w:p w:rsidR="00000000" w:rsidDel="00000000" w:rsidP="00000000" w:rsidRDefault="00000000" w:rsidRPr="00000000" w14:paraId="000007A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E ) Um telhado tradicional com telhas-francesas de barro e estrutura de madeira apresenta uma hierarquia estrutural formada por tesouras (hierarquia</w:t>
            </w:r>
          </w:p>
          <w:p w:rsidR="00000000" w:rsidDel="00000000" w:rsidP="00000000" w:rsidRDefault="00000000" w:rsidRPr="00000000" w14:paraId="000007B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1), terças (hierarquia 2) e ripas (hierarquia 3); somente a vedação, formada pelas telhas-francesas, está excluída dessa classificação.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B9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7BA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B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3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C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CD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5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E,C</w:t>
            </w:r>
          </w:p>
        </w:tc>
      </w:tr>
    </w:tbl>
    <w:p w:rsidR="00000000" w:rsidDel="00000000" w:rsidP="00000000" w:rsidRDefault="00000000" w:rsidRPr="00000000" w14:paraId="000007DC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D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DE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1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2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3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4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5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7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E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Relacione as colunas de acordo com a sua definição de software, e em seguida assinale a alternativa que cuja sequência esteja correta:</w:t>
            </w:r>
          </w:p>
          <w:p w:rsidR="00000000" w:rsidDel="00000000" w:rsidP="00000000" w:rsidRDefault="00000000" w:rsidRPr="00000000" w14:paraId="000007E8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spacing w:after="0" w:before="0" w:line="240" w:lineRule="auto"/>
              <w:ind w:left="210" w:hanging="1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AutoCAD</w:t>
            </w:r>
          </w:p>
          <w:p w:rsidR="00000000" w:rsidDel="00000000" w:rsidP="00000000" w:rsidRDefault="00000000" w:rsidRPr="00000000" w14:paraId="000007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spacing w:after="0" w:before="0" w:line="240" w:lineRule="auto"/>
              <w:ind w:left="210" w:hanging="1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Sketchup</w:t>
            </w:r>
          </w:p>
          <w:p w:rsidR="00000000" w:rsidDel="00000000" w:rsidP="00000000" w:rsidRDefault="00000000" w:rsidRPr="00000000" w14:paraId="000007EA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spacing w:after="0" w:before="0" w:line="240" w:lineRule="auto"/>
              <w:ind w:left="210" w:hanging="1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Revit</w:t>
            </w:r>
          </w:p>
          <w:p w:rsidR="00000000" w:rsidDel="00000000" w:rsidP="00000000" w:rsidRDefault="00000000" w:rsidRPr="00000000" w14:paraId="000007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spacing w:after="0" w:before="0" w:line="240" w:lineRule="auto"/>
              <w:ind w:left="210" w:hanging="157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3D Studio Max</w:t>
            </w:r>
          </w:p>
          <w:p w:rsidR="00000000" w:rsidDel="00000000" w:rsidP="00000000" w:rsidRDefault="00000000" w:rsidRPr="00000000" w14:paraId="000007E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) Software que oferece suporte multidisciplinar facilitando o trabalho em equipe, melhorando a interação entre uma parte e outra do projeto.</w:t>
            </w:r>
          </w:p>
          <w:p w:rsidR="00000000" w:rsidDel="00000000" w:rsidP="00000000" w:rsidRDefault="00000000" w:rsidRPr="00000000" w14:paraId="000007EF">
            <w:pPr>
              <w:widowControl w:val="0"/>
              <w:spacing w:after="0" w:before="0" w:line="240" w:lineRule="auto"/>
              <w:ind w:left="54" w:right="61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) Ferramenta bastante intuitiva se comparada com outros softwares do mesmo propósito, permite a criação de maquetes em 3D com detalhes e precisão, facilitando a visualização das etapas do projeto.</w:t>
            </w:r>
          </w:p>
          <w:p w:rsidR="00000000" w:rsidDel="00000000" w:rsidP="00000000" w:rsidRDefault="00000000" w:rsidRPr="00000000" w14:paraId="000007F0">
            <w:pPr>
              <w:widowControl w:val="0"/>
              <w:spacing w:after="0" w:before="0" w:line="240" w:lineRule="auto"/>
              <w:ind w:left="54" w:right="21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) Software muito utilizado para o desenvolvimento de projetos, pode ser utilizado na criação de desenhos em 2D, entre seus principais recursos está a possibilidade de criar objetos também em 3D e movimenta-los em diversas posições. Permite explorar a parte interna e externa de um objeto.</w:t>
            </w:r>
          </w:p>
          <w:p w:rsidR="00000000" w:rsidDel="00000000" w:rsidP="00000000" w:rsidRDefault="00000000" w:rsidRPr="00000000" w14:paraId="000007F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) Software utilizado para realizar trabalhos com modelagens 3D, animação, renderização e composição 3D.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7F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2 - 1 - 4 – 3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03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0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3 - 2 - 1 - 4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0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1 - 2 - 3 - 4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2 - 3 - 4 - 1</w:t>
            </w:r>
          </w:p>
        </w:tc>
      </w:tr>
    </w:tbl>
    <w:p w:rsidR="00000000" w:rsidDel="00000000" w:rsidP="00000000" w:rsidRDefault="00000000" w:rsidRPr="00000000" w14:paraId="0000081D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6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E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11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1F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2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3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4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5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6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1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28">
            <w:pPr>
              <w:widowControl w:val="0"/>
              <w:spacing w:after="0" w:before="0" w:line="240" w:lineRule="auto"/>
              <w:ind w:left="54" w:right="9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Com base no desenho arquitetônico precedente, representativo de uma escada com corrimão, julgue os itens a seguir como CERTO( C) ou ERRADO (E) e marque a alternativa correta.</w:t>
            </w:r>
          </w:p>
          <w:p w:rsidR="00000000" w:rsidDel="00000000" w:rsidP="00000000" w:rsidRDefault="00000000" w:rsidRPr="00000000" w14:paraId="0000082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A">
            <w:pPr>
              <w:widowControl w:val="0"/>
              <w:spacing w:after="0" w:before="0" w:line="240" w:lineRule="auto"/>
              <w:ind w:left="34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3088005" cy="2262505"/>
                  <wp:effectExtent b="0" l="0" r="0" t="0"/>
                  <wp:docPr id="4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005" cy="22625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2D">
            <w:pPr>
              <w:widowControl w:val="0"/>
              <w:spacing w:after="0" w:before="0" w:line="240" w:lineRule="auto"/>
              <w:ind w:left="54" w:right="494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E ) O desenho trata da vista de uma escada que inclui um corrimão duplo. ( E ) A altura do corrimão em relação ao piso do degrau é de 92 cm.</w:t>
            </w:r>
          </w:p>
          <w:p w:rsidR="00000000" w:rsidDel="00000000" w:rsidP="00000000" w:rsidRDefault="00000000" w:rsidRPr="00000000" w14:paraId="0000082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C ) O comprimento do corrimão não está definido no desenho apresentado.</w:t>
            </w:r>
          </w:p>
          <w:p w:rsidR="00000000" w:rsidDel="00000000" w:rsidP="00000000" w:rsidRDefault="00000000" w:rsidRPr="00000000" w14:paraId="0000082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C ) As cotas do desenho estão em metros, em decímetros e em centímetros.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3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E,C,C,E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C,E,C,E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4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C,E,C,C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53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5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E,E,C,C</w:t>
            </w:r>
          </w:p>
        </w:tc>
      </w:tr>
    </w:tbl>
    <w:p w:rsidR="00000000" w:rsidDel="00000000" w:rsidP="00000000" w:rsidRDefault="00000000" w:rsidRPr="00000000" w14:paraId="0000085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C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12 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D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E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5F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0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1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2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 Figura e a Tabela abaixo foram extraídas da NBR 9050.</w:t>
            </w:r>
          </w:p>
        </w:tc>
      </w:tr>
    </w:tbl>
    <w:p w:rsidR="00000000" w:rsidDel="00000000" w:rsidP="00000000" w:rsidRDefault="00000000" w:rsidRPr="00000000" w14:paraId="0000086A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</w:rPr>
        <w:sectPr>
          <w:type w:val="nextPage"/>
          <w:pgSz w:h="16834" w:w="11909" w:orient="portrait"/>
          <w:pgMar w:bottom="460" w:top="140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6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38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7154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6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D">
            <w:pPr>
              <w:widowControl w:val="0"/>
              <w:spacing w:after="0" w:before="0" w:line="240" w:lineRule="auto"/>
              <w:ind w:left="278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4892040" cy="4107180"/>
                  <wp:effectExtent b="0" l="0" r="0" t="0"/>
                  <wp:docPr id="7" name="image6.jpg"/>
                  <a:graphic>
                    <a:graphicData uri="http://schemas.openxmlformats.org/drawingml/2006/picture">
                      <pic:pic>
                        <pic:nvPicPr>
                          <pic:cNvPr id="0" name="image6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2040" cy="41071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F">
            <w:pPr>
              <w:widowControl w:val="0"/>
              <w:spacing w:after="0" w:before="0" w:line="240" w:lineRule="auto"/>
              <w:ind w:left="54" w:right="22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Sabendo-se que i é a inclinação da rampa em porcentagem, h é a altura do desnível, e c, o comprimento da rampa em projeção horizontal, qual deverá ser a medida de c, em m, para atender à referida norma, se h = 70 cm?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72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73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8,40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7,35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0,84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C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D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9,10</w:t>
            </w:r>
          </w:p>
        </w:tc>
      </w:tr>
    </w:tbl>
    <w:p w:rsidR="00000000" w:rsidDel="00000000" w:rsidP="00000000" w:rsidRDefault="00000000" w:rsidRPr="00000000" w14:paraId="0000087E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39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1458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1458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7F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13 S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0">
            <w:pPr>
              <w:widowControl w:val="0"/>
              <w:spacing w:after="0" w:before="0" w:line="240" w:lineRule="auto"/>
              <w:ind w:left="472" w:right="467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ANULADA</w:t>
            </w:r>
          </w:p>
        </w:tc>
      </w:tr>
      <w:tr>
        <w:trPr>
          <w:cantSplit w:val="0"/>
          <w:trHeight w:val="5309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87">
            <w:pPr>
              <w:widowControl w:val="0"/>
              <w:spacing w:after="0" w:before="0" w:line="240" w:lineRule="auto"/>
              <w:ind w:left="54" w:right="260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De acordo com a norma ABNT 9050, que trata de acessibilidade universal, a sinalização tátil e visual no piso deve ser de alerta e direcional. A respeito desse assunto e considerando a figura precedente, julgue os próximos itens como CERTO( C) ou ERRADO (E) e marque a alternativa correta.</w:t>
            </w:r>
          </w:p>
          <w:p w:rsidR="00000000" w:rsidDel="00000000" w:rsidP="00000000" w:rsidRDefault="00000000" w:rsidRPr="00000000" w14:paraId="0000088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23"/>
                <w:szCs w:val="2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9">
            <w:pPr>
              <w:widowControl w:val="0"/>
              <w:spacing w:after="0" w:before="0" w:line="240" w:lineRule="auto"/>
              <w:ind w:left="374" w:firstLine="0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</w:rPr>
              <w:drawing>
                <wp:inline distB="0" distT="0" distL="0" distR="0">
                  <wp:extent cx="3088005" cy="2099310"/>
                  <wp:effectExtent b="0" l="0" r="0" t="0"/>
                  <wp:docPr id="9" name="image7.jpg"/>
                  <a:graphic>
                    <a:graphicData uri="http://schemas.openxmlformats.org/drawingml/2006/picture">
                      <pic:pic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005" cy="20993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8C">
            <w:pPr>
              <w:widowControl w:val="0"/>
              <w:spacing w:after="0" w:before="0" w:line="240" w:lineRule="auto"/>
              <w:ind w:left="54" w:right="4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( E ) A sinalização tátil no piso, também denominada podotátil, é necessária para que todos os portadores de necessidades especiais tenham maior conforto.</w:t>
            </w:r>
          </w:p>
          <w:p w:rsidR="00000000" w:rsidDel="00000000" w:rsidP="00000000" w:rsidRDefault="00000000" w:rsidRPr="00000000" w14:paraId="0000088D">
            <w:pPr>
              <w:widowControl w:val="0"/>
              <w:spacing w:after="0" w:before="0" w:line="240" w:lineRule="auto"/>
              <w:ind w:left="54" w:right="97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( C ) Os dois tipos de placa de piso para sinalização tátil são: as direcionais, identificadas pelo número 2 na figura em apreço; e as de alerta, identificadas pelo número 1.</w:t>
            </w:r>
          </w:p>
          <w:p w:rsidR="00000000" w:rsidDel="00000000" w:rsidP="00000000" w:rsidRDefault="00000000" w:rsidRPr="00000000" w14:paraId="0000088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( C ) Na figura em questão, o “montante fixado na extremidade do corrimão central” não tem função estrutural; sua finalidade restringe-se a alertar o</w:t>
            </w:r>
          </w:p>
        </w:tc>
      </w:tr>
    </w:tbl>
    <w:p w:rsidR="00000000" w:rsidDel="00000000" w:rsidP="00000000" w:rsidRDefault="00000000" w:rsidRPr="00000000" w14:paraId="00000894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</w:rPr>
        <w:sectPr>
          <w:type w:val="nextPage"/>
          <w:pgSz w:h="16834" w:w="11909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95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40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2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deficiente visual para a existência de um corrimão logo adiante.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A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E, C, 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9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C,E,E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9F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A0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E,C,C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color w:val="ff0000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3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14"/>
                <w:szCs w:val="14"/>
                <w:rtl w:val="0"/>
              </w:rPr>
              <w:t xml:space="preserve">C, C, E</w:t>
            </w:r>
          </w:p>
        </w:tc>
      </w:tr>
    </w:tbl>
    <w:p w:rsidR="00000000" w:rsidDel="00000000" w:rsidP="00000000" w:rsidRDefault="00000000" w:rsidRPr="00000000" w14:paraId="000008A5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1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6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14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7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A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B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C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D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E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A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0">
            <w:pPr>
              <w:widowControl w:val="0"/>
              <w:spacing w:after="0" w:before="0" w:line="240" w:lineRule="auto"/>
              <w:ind w:left="54" w:right="17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Uma iluminação deficiente ou inadequada no local de trabalho pode prejudicar a saúde física ou psicológica de um trabalhador, afetar seu rendimento e acabar provocando um acidente de trabalho. De acordo com a NBR 5413, a tabela de níveis de iluminação por tipo de ambiente recomenda que, o setor</w:t>
            </w:r>
          </w:p>
          <w:p w:rsidR="00000000" w:rsidDel="00000000" w:rsidP="00000000" w:rsidRDefault="00000000" w:rsidRPr="00000000" w14:paraId="000008B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 atendimento ao público de um banco, por exemplo, tenha uma luminância (lux) entre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B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150 e 250.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acima de 1.000.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C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250 e 500.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D5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8D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300 e 750.</w:t>
            </w:r>
          </w:p>
        </w:tc>
      </w:tr>
    </w:tbl>
    <w:p w:rsidR="00000000" w:rsidDel="00000000" w:rsidP="00000000" w:rsidRDefault="00000000" w:rsidRPr="00000000" w14:paraId="000008DD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2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E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15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DF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2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3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4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5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6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9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E8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Sabendo que a inclinação da telha é de 30% e que o beiral é de 80cm, qual deverá ser a altura (em centímetro) da cumeeira do telhado abaixo?</w:t>
            </w:r>
          </w:p>
          <w:p w:rsidR="00000000" w:rsidDel="00000000" w:rsidP="00000000" w:rsidRDefault="00000000" w:rsidRPr="00000000" w14:paraId="000008E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B">
            <w:pPr>
              <w:widowControl w:val="0"/>
              <w:spacing w:after="0" w:before="0" w:line="240" w:lineRule="auto"/>
              <w:ind w:left="134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0" distT="0" distL="0" distR="0">
                  <wp:extent cx="2945765" cy="2058670"/>
                  <wp:effectExtent b="0" l="0" r="0" t="0"/>
                  <wp:docPr id="5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5765" cy="20586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E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210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8FF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126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8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9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150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0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10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11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2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186</w:t>
            </w:r>
          </w:p>
        </w:tc>
      </w:tr>
    </w:tbl>
    <w:p w:rsidR="00000000" w:rsidDel="00000000" w:rsidP="00000000" w:rsidRDefault="00000000" w:rsidRPr="00000000" w14:paraId="00000918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3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9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16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A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D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E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1F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0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1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De acordo com a NBR 6492, que trata da representação de projetos de arquitetura, NÃO é um documento típico do Anteprojeto: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B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D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2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plantas, cortes e fachadas.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35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36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estimativa de custo.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D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3F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0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memorial justificativo, abrangendo aspectos construtivos.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8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49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documentos para aprovação em órgãos públicos.</w:t>
            </w:r>
          </w:p>
        </w:tc>
      </w:tr>
    </w:tbl>
    <w:p w:rsidR="00000000" w:rsidDel="00000000" w:rsidP="00000000" w:rsidRDefault="00000000" w:rsidRPr="00000000" w14:paraId="0000094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4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0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17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1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4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5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6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7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8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5A">
            <w:pPr>
              <w:widowControl w:val="0"/>
              <w:spacing w:after="0" w:before="0" w:line="240" w:lineRule="auto"/>
              <w:ind w:left="54" w:right="6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Julgue os próximos itens, relativos a atividades técnicas de projeto de arquitetura e engenharia exigíveis para a construção de edificações, como CERTO( C) ou ERRADO (E) e marque a alternativa correta.</w:t>
            </w:r>
          </w:p>
          <w:p w:rsidR="00000000" w:rsidDel="00000000" w:rsidP="00000000" w:rsidRDefault="00000000" w:rsidRPr="00000000" w14:paraId="0000095B">
            <w:pPr>
              <w:widowControl w:val="0"/>
              <w:spacing w:after="0" w:before="0" w:line="240" w:lineRule="auto"/>
              <w:ind w:left="54" w:right="260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E ) Para a aprovação em órgãos oficiais, a planta de locação é parte integrante do projeto básico de arquitetura e deve conter informações completas sobre a localização do terreno.</w:t>
            </w:r>
          </w:p>
          <w:p w:rsidR="00000000" w:rsidDel="00000000" w:rsidP="00000000" w:rsidRDefault="00000000" w:rsidRPr="00000000" w14:paraId="0000095C">
            <w:pPr>
              <w:widowControl w:val="0"/>
              <w:spacing w:after="0" w:before="0" w:line="240" w:lineRule="auto"/>
              <w:ind w:left="54" w:right="135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C ) A etapa de anteprojeto corresponde à fase na qual se deve receber aprovação final do cliente e dos órgãos oficiais envolvidos a fim de possibilitar a contratação da obra.</w:t>
            </w:r>
          </w:p>
          <w:p w:rsidR="00000000" w:rsidDel="00000000" w:rsidP="00000000" w:rsidRDefault="00000000" w:rsidRPr="00000000" w14:paraId="0000095D">
            <w:pPr>
              <w:widowControl w:val="0"/>
              <w:spacing w:after="0" w:before="0" w:line="240" w:lineRule="auto"/>
              <w:ind w:left="54" w:right="41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E ) O estudo preliminar de um projeto antecede o programa de necessidades e constitui a análise de risco, na qual são considerados os elementos técnicos, como os estudos de viabilidade econômico-financeira, viabilidade comercial e viabilidade ambiental.</w:t>
            </w:r>
          </w:p>
          <w:p w:rsidR="00000000" w:rsidDel="00000000" w:rsidP="00000000" w:rsidRDefault="00000000" w:rsidRPr="00000000" w14:paraId="0000095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 C ) O programa de necessidades, a ser elaborado pelo arquiteto em conjunto com o cliente, consiste na determinação das exigências de caráter</w:t>
            </w:r>
          </w:p>
          <w:p w:rsidR="00000000" w:rsidDel="00000000" w:rsidP="00000000" w:rsidRDefault="00000000" w:rsidRPr="00000000" w14:paraId="0000095F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prescritivo a serem satisfeitas pela edificação a ser concebida.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68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6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6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E,C,E,C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E,C,E,E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7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C,E,C,E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4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5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C,C,E,C</w:t>
            </w:r>
          </w:p>
        </w:tc>
      </w:tr>
    </w:tbl>
    <w:p w:rsidR="00000000" w:rsidDel="00000000" w:rsidP="00000000" w:rsidRDefault="00000000" w:rsidRPr="00000000" w14:paraId="0000098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5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6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486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C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18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8D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0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1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2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3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4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Em um projeto de acessibilidade, as dimensões mínimas (largura e comprimento) da área para manobra de cadeiras de rodas com deslocamento de</w:t>
            </w:r>
          </w:p>
          <w:p w:rsidR="00000000" w:rsidDel="00000000" w:rsidP="00000000" w:rsidRDefault="00000000" w:rsidRPr="00000000" w14:paraId="0000099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180°, devem ser: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9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1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2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1,60 m x 1,80 m.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A9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AA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A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1,50 m x 1,90 m.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3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4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1,60 m x 2,00 m.</w:t>
            </w:r>
          </w:p>
        </w:tc>
      </w:tr>
    </w:tbl>
    <w:p w:rsidR="00000000" w:rsidDel="00000000" w:rsidP="00000000" w:rsidRDefault="00000000" w:rsidRPr="00000000" w14:paraId="000009BA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</w:rPr>
        <w:sectPr>
          <w:type w:val="nextPage"/>
          <w:pgSz w:h="16834" w:w="11909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B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3"/>
          <w:szCs w:val="3"/>
        </w:rPr>
      </w:pPr>
      <w:r w:rsidDel="00000000" w:rsidR="00000000" w:rsidRPr="00000000">
        <w:rPr>
          <w:rtl w:val="0"/>
        </w:rPr>
      </w:r>
    </w:p>
    <w:tbl>
      <w:tblPr>
        <w:tblStyle w:val="Table46"/>
        <w:tblW w:w="9719.0" w:type="dxa"/>
        <w:jc w:val="left"/>
        <w:tblInd w:w="603.0" w:type="dxa"/>
        <w:tblLayout w:type="fixed"/>
        <w:tblLook w:val="0000"/>
      </w:tblPr>
      <w:tblGrid>
        <w:gridCol w:w="485"/>
        <w:gridCol w:w="486"/>
        <w:gridCol w:w="8748"/>
        <w:tblGridChange w:id="0">
          <w:tblGrid>
            <w:gridCol w:w="485"/>
            <w:gridCol w:w="486"/>
            <w:gridCol w:w="874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C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D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BE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1,50 m x 1,80 m.</w:t>
            </w:r>
          </w:p>
        </w:tc>
      </w:tr>
    </w:tbl>
    <w:p w:rsidR="00000000" w:rsidDel="00000000" w:rsidP="00000000" w:rsidRDefault="00000000" w:rsidRPr="00000000" w14:paraId="000009BF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7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1"/>
        <w:gridCol w:w="485"/>
        <w:gridCol w:w="1459"/>
        <w:gridCol w:w="1943"/>
        <w:gridCol w:w="1944"/>
        <w:gridCol w:w="1460"/>
        <w:gridCol w:w="1458"/>
        <w:tblGridChange w:id="0">
          <w:tblGrid>
            <w:gridCol w:w="485"/>
            <w:gridCol w:w="486"/>
            <w:gridCol w:w="486"/>
            <w:gridCol w:w="1"/>
            <w:gridCol w:w="485"/>
            <w:gridCol w:w="1459"/>
            <w:gridCol w:w="1943"/>
            <w:gridCol w:w="1944"/>
            <w:gridCol w:w="1460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0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19 S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1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5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6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7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8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9">
            <w:pPr>
              <w:widowControl w:val="0"/>
              <w:spacing w:after="0" w:before="0" w:line="240" w:lineRule="auto"/>
              <w:ind w:left="237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C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correto dimensionamento dos espaços e do mobiliário em edifícios públicos é tarefa importante para assegurar o conforto ergonômico e permitir a</w:t>
            </w:r>
          </w:p>
          <w:p w:rsidR="00000000" w:rsidDel="00000000" w:rsidP="00000000" w:rsidRDefault="00000000" w:rsidRPr="00000000" w14:paraId="000009C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mobilidade de todas as pessoas. Em relação a esse tema, assinale a alternativa correta: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D6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9D7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8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espaço necessário de rotação para usuários de cadeiras de rodas é de 1,50 m, para um giro completo de 360º.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D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1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2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o dimensionamento de um estacionamento, deve-se adotar o parâmetro de 15 m² por veículo, procurando minimizar o espaço de</w:t>
            </w:r>
          </w:p>
          <w:p w:rsidR="00000000" w:rsidDel="00000000" w:rsidP="00000000" w:rsidRDefault="00000000" w:rsidRPr="00000000" w14:paraId="000009E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manobra e de parada, considerando 30% de vagas para veículos populares.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E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E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5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9F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O espaço mínimo entre uma mesa de trabalho e outra deve ser de 60 cm, permitindo-se o uso de estações de trabalho para maximizar os</w:t>
            </w:r>
          </w:p>
          <w:p w:rsidR="00000000" w:rsidDel="00000000" w:rsidP="00000000" w:rsidRDefault="00000000" w:rsidRPr="00000000" w14:paraId="000009F7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espaços de escritórios.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9F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3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4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0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0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Em ambientes públicos de grande tráfego de pessoas, as escadas de ligação entre um pavimento devem ter largura mínima de 1,20 m</w:t>
            </w:r>
          </w:p>
          <w:p w:rsidR="00000000" w:rsidDel="00000000" w:rsidP="00000000" w:rsidRDefault="00000000" w:rsidRPr="00000000" w14:paraId="00000A0B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para facilitar a circulação e evitar congestionamentos.</w:t>
            </w:r>
          </w:p>
        </w:tc>
      </w:tr>
      <w:tr>
        <w:trPr>
          <w:cantSplit w:val="0"/>
          <w:trHeight w:val="156" w:hRule="atLeast"/>
          <w:tblHeader w:val="0"/>
        </w:trPr>
        <w:tc>
          <w:tcPr>
            <w:gridSpan w:val="4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A12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6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A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1B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48"/>
        <w:tblW w:w="10207.0" w:type="dxa"/>
        <w:jc w:val="left"/>
        <w:tblInd w:w="120.0" w:type="dxa"/>
        <w:tblLayout w:type="fixed"/>
        <w:tblLook w:val="0000"/>
      </w:tblPr>
      <w:tblGrid>
        <w:gridCol w:w="485"/>
        <w:gridCol w:w="486"/>
        <w:gridCol w:w="486"/>
        <w:gridCol w:w="487"/>
        <w:gridCol w:w="1458"/>
        <w:gridCol w:w="1944"/>
        <w:gridCol w:w="1945"/>
        <w:gridCol w:w="1458"/>
        <w:gridCol w:w="1458"/>
        <w:tblGridChange w:id="0">
          <w:tblGrid>
            <w:gridCol w:w="485"/>
            <w:gridCol w:w="486"/>
            <w:gridCol w:w="486"/>
            <w:gridCol w:w="487"/>
            <w:gridCol w:w="1458"/>
            <w:gridCol w:w="1944"/>
            <w:gridCol w:w="1945"/>
            <w:gridCol w:w="1458"/>
            <w:gridCol w:w="1458"/>
          </w:tblGrid>
        </w:tblGridChange>
      </w:tblGrid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C">
            <w:pPr>
              <w:widowControl w:val="0"/>
              <w:spacing w:after="0" w:before="0" w:line="240" w:lineRule="auto"/>
              <w:ind w:left="139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20 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1D">
            <w:pPr>
              <w:widowControl w:val="0"/>
              <w:spacing w:after="0" w:before="0" w:line="240" w:lineRule="auto"/>
              <w:ind w:left="472" w:right="467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0">
            <w:pPr>
              <w:widowControl w:val="0"/>
              <w:spacing w:after="0" w:before="0" w:line="240" w:lineRule="auto"/>
              <w:ind w:left="18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1">
            <w:pPr>
              <w:widowControl w:val="0"/>
              <w:spacing w:after="0" w:before="0" w:line="240" w:lineRule="auto"/>
              <w:ind w:left="675" w:right="672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2">
            <w:pPr>
              <w:widowControl w:val="0"/>
              <w:spacing w:after="0" w:before="0" w:line="240" w:lineRule="auto"/>
              <w:ind w:left="675" w:right="673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3">
            <w:pPr>
              <w:widowControl w:val="0"/>
              <w:spacing w:after="0" w:before="0" w:line="240" w:lineRule="auto"/>
              <w:ind w:left="469" w:right="468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4">
            <w:pPr>
              <w:widowControl w:val="0"/>
              <w:spacing w:after="0" w:before="0" w:line="240" w:lineRule="auto"/>
              <w:ind w:left="198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5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6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As alternativas a seguir apresentam documentos opcionais e complementares aos documentos gráficos de um projeto executivo arquitetônico, EXCETO: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E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2F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0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1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Maquetes construídas em escala ou eletrônicas (interior ou exterior).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7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8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9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3A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Fotografias e montagens.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0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1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2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3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Recursos audiovisuais.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9">
            <w:pPr>
              <w:widowControl w:val="0"/>
              <w:spacing w:after="0" w:before="0" w:line="240" w:lineRule="auto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A4A">
            <w:pPr>
              <w:widowControl w:val="0"/>
              <w:spacing w:after="0" w:before="0" w:line="240" w:lineRule="auto"/>
              <w:ind w:left="5" w:firstLine="0"/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A4B">
            <w:pPr>
              <w:widowControl w:val="0"/>
              <w:spacing w:after="0" w:before="0" w:line="240" w:lineRule="auto"/>
              <w:ind w:left="201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A4C">
            <w:pPr>
              <w:widowControl w:val="0"/>
              <w:spacing w:after="0" w:before="0" w:line="240" w:lineRule="auto"/>
              <w:ind w:left="54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Elevações de ambientes especiais (áreas molhadas e oficinas).</w:t>
            </w:r>
          </w:p>
        </w:tc>
      </w:tr>
    </w:tbl>
    <w:p w:rsidR="00000000" w:rsidDel="00000000" w:rsidP="00000000" w:rsidRDefault="00000000" w:rsidRPr="00000000" w14:paraId="00000A52">
      <w:pPr>
        <w:widowControl w:val="0"/>
        <w:spacing w:after="0" w:before="0" w:line="240" w:lineRule="auto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3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5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6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7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B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C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D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E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5F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1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2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3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5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6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7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B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C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D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E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6F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1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2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3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5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6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7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B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  <w:sectPr>
          <w:type w:val="nextPage"/>
          <w:pgSz w:h="16834" w:w="11909" w:orient="portrait"/>
          <w:pgMar w:bottom="460" w:top="1480" w:left="740" w:right="740" w:header="283" w:footer="272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II</w:t>
      </w:r>
    </w:p>
    <w:p w:rsidR="00000000" w:rsidDel="00000000" w:rsidP="00000000" w:rsidRDefault="00000000" w:rsidRPr="00000000" w14:paraId="00000A7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RECURSOS DEFERIDOS/INDEFERIDOS</w:t>
      </w:r>
    </w:p>
    <w:p w:rsidR="00000000" w:rsidDel="00000000" w:rsidP="00000000" w:rsidRDefault="00000000" w:rsidRPr="00000000" w14:paraId="00000A8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DIREITO GRADUAÇÃO</w:t>
      </w:r>
    </w:p>
    <w:p w:rsidR="00000000" w:rsidDel="00000000" w:rsidP="00000000" w:rsidRDefault="00000000" w:rsidRPr="00000000" w14:paraId="00000A82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tbl>
      <w:tblPr>
        <w:tblStyle w:val="Table49"/>
        <w:tblW w:w="9029.0" w:type="dxa"/>
        <w:jc w:val="left"/>
        <w:tblInd w:w="40.0" w:type="pct"/>
        <w:tblLayout w:type="fixed"/>
        <w:tblLook w:val="0600"/>
      </w:tblPr>
      <w:tblGrid>
        <w:gridCol w:w="855"/>
        <w:gridCol w:w="2520"/>
        <w:gridCol w:w="5654"/>
        <w:tblGridChange w:id="0">
          <w:tblGrid>
            <w:gridCol w:w="855"/>
            <w:gridCol w:w="2520"/>
            <w:gridCol w:w="56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21358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Juliana Kelly da Silva Ferreira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5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INDEFERIDO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5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6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21267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7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Ludmilla Andressa da Silva Barbosa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8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INDEFERIDO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9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20651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A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Letícia Santos Calixto Oliveira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B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C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INDEFERIDO</w:t>
            </w:r>
          </w:p>
          <w:p w:rsidR="00000000" w:rsidDel="00000000" w:rsidP="00000000" w:rsidRDefault="00000000" w:rsidRPr="00000000" w14:paraId="00000A8D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A8E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8F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21620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0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Wilson de Carvalho Rosa Filho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1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DEFERIDO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21090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Aline Costa Correa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DEFERIDO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20693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Maendra Barros de Araújo Cruz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PARCIALMENTE DEFERIDO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21382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Luanna Nogueira Berthier da Silva</w:t>
            </w:r>
          </w:p>
        </w:tc>
        <w:tc>
          <w:tcPr>
            <w:tcBorders>
              <w:top w:color="212529" w:space="0" w:sz="6" w:val="single"/>
              <w:left w:color="212529" w:space="0" w:sz="6" w:val="single"/>
              <w:bottom w:color="212529" w:space="0" w:sz="6" w:val="single"/>
              <w:right w:color="212529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A9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color w:val="21252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12529"/>
                <w:rtl w:val="0"/>
              </w:rPr>
              <w:t xml:space="preserve">DEFERIDO</w:t>
            </w:r>
          </w:p>
        </w:tc>
      </w:tr>
    </w:tbl>
    <w:p w:rsidR="00000000" w:rsidDel="00000000" w:rsidP="00000000" w:rsidRDefault="00000000" w:rsidRPr="00000000" w14:paraId="00000A9B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C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D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E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9F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1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2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3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5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6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7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8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9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A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B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C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D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E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AF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0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spacing w:after="0" w:before="0" w:line="240" w:lineRule="auto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ANEXO III</w:t>
      </w:r>
    </w:p>
    <w:p w:rsidR="00000000" w:rsidDel="00000000" w:rsidP="00000000" w:rsidRDefault="00000000" w:rsidRPr="00000000" w14:paraId="00000AB6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ESPELHO DE CORREÇÃO QUESTÃO DISSERTATIVA</w:t>
      </w:r>
    </w:p>
    <w:p w:rsidR="00000000" w:rsidDel="00000000" w:rsidP="00000000" w:rsidRDefault="00000000" w:rsidRPr="00000000" w14:paraId="00000AB8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DIREITO GRADUAÇÃO</w:t>
      </w:r>
    </w:p>
    <w:p w:rsidR="00000000" w:rsidDel="00000000" w:rsidP="00000000" w:rsidRDefault="00000000" w:rsidRPr="00000000" w14:paraId="00000ABA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Enunciado da questão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: A defesa dos direitos da população LGBT+ consiste em uma das importantes áreas de atuação da Defensoria Pública. Discorra sobre o direito ao nome social e o procedimento de alteração de prenome de pessoas maiores de 18 (dezoito) anos no Estado do Maranhão.</w:t>
      </w:r>
    </w:p>
    <w:p w:rsidR="00000000" w:rsidDel="00000000" w:rsidP="00000000" w:rsidRDefault="00000000" w:rsidRPr="00000000" w14:paraId="00000ABC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12529"/>
          <w:rtl w:val="0"/>
        </w:rPr>
        <w:t xml:space="preserve">Espelho de correção:</w:t>
      </w:r>
    </w:p>
    <w:p w:rsidR="00000000" w:rsidDel="00000000" w:rsidP="00000000" w:rsidRDefault="00000000" w:rsidRPr="00000000" w14:paraId="00000ABE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Uso correto do vernáculo, concatenação de ideias, coesão e coerência na escrita.</w:t>
      </w:r>
    </w:p>
    <w:p w:rsidR="00000000" w:rsidDel="00000000" w:rsidP="00000000" w:rsidRDefault="00000000" w:rsidRPr="00000000" w14:paraId="00000ABF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Direito ao nome social</w:t>
      </w:r>
    </w:p>
    <w:p w:rsidR="00000000" w:rsidDel="00000000" w:rsidP="00000000" w:rsidRDefault="00000000" w:rsidRPr="00000000" w14:paraId="00000AC1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Contextualização</w:t>
      </w:r>
    </w:p>
    <w:p w:rsidR="00000000" w:rsidDel="00000000" w:rsidP="00000000" w:rsidRDefault="00000000" w:rsidRPr="00000000" w14:paraId="00000AC2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Legislação aplicável: Convenção Americana de Direitos Humanos (1969), o Protocolo de São Salvador (1988), a Convenção Interamericana contra o Racismo, a Discriminação Racial e Formas correlatas de Intolerância, os Princípios de Yogyakarta (Yogyakarta, 2006),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Constituição Federal,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art. 3º, I, III e IV, Decreto federal nº 8.727/2016, Decreto nº 9.278/2018,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Resolução Nº 270 de 11/12/2018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)</w:t>
      </w:r>
    </w:p>
    <w:p w:rsidR="00000000" w:rsidDel="00000000" w:rsidP="00000000" w:rsidRDefault="00000000" w:rsidRPr="00000000" w14:paraId="00000AC3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4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Procedimento de alteração de prenome de pessoas maiores de 18 (dezoito) anos</w:t>
      </w:r>
    </w:p>
    <w:p w:rsidR="00000000" w:rsidDel="00000000" w:rsidP="00000000" w:rsidRDefault="00000000" w:rsidRPr="00000000" w14:paraId="00000AC5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Contextualização</w:t>
      </w:r>
    </w:p>
    <w:p w:rsidR="00000000" w:rsidDel="00000000" w:rsidP="00000000" w:rsidRDefault="00000000" w:rsidRPr="00000000" w14:paraId="00000AC6">
      <w:pPr>
        <w:spacing w:after="0" w:before="0" w:line="240" w:lineRule="auto"/>
        <w:jc w:val="both"/>
        <w:rPr>
          <w:rFonts w:ascii="Times New Roman" w:cs="Times New Roman" w:eastAsia="Times New Roman" w:hAnsi="Times New Roman"/>
          <w:color w:val="212529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Legislação aplicável: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Ação Direta de Constitucionalidade 4275,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rtl w:val="0"/>
        </w:rPr>
        <w:t xml:space="preserve">Provimento Nº 73 de 28/06/2018 do Conselho Nacional de Justiça (CNJ), Provimento nº 30/2021 da Corregedoria Geral de Justiça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7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8">
      <w:pPr>
        <w:spacing w:after="0" w:before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Noto Sans Symbols"/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C9">
    <w:pPr>
      <w:spacing w:after="160" w:line="259" w:lineRule="auto"/>
      <w:ind w:left="567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616585" cy="447675"/>
          <wp:effectExtent b="0" l="0" r="0" t="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6585" cy="4476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ACA">
    <w:pPr>
      <w:pBdr>
        <w:bottom w:color="000000" w:space="0" w:sz="6" w:val="single"/>
      </w:pBd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color w:val="008000"/>
        <w:sz w:val="20"/>
        <w:szCs w:val="20"/>
        <w:rtl w:val="0"/>
      </w:rPr>
      <w:t xml:space="preserve">     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210" w:hanging="156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69" w:hanging="155.9999999999999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118" w:hanging="155.9999999999997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67" w:hanging="156.00000000000045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4016" w:hanging="156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66" w:hanging="156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915" w:hanging="156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64" w:hanging="156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13" w:hanging="156.0000000000009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upperRoman"/>
      <w:lvlText w:val="%1."/>
      <w:lvlJc w:val="left"/>
      <w:pPr>
        <w:ind w:left="171" w:hanging="116.99999999999997"/>
      </w:pPr>
      <w:rPr>
        <w:rFonts w:ascii="Arial MT" w:cs="Arial MT" w:eastAsia="Arial MT" w:hAnsi="Arial MT"/>
        <w:sz w:val="14"/>
        <w:szCs w:val="14"/>
      </w:rPr>
    </w:lvl>
    <w:lvl w:ilvl="1">
      <w:start w:val="0"/>
      <w:numFmt w:val="bullet"/>
      <w:lvlText w:val="●"/>
      <w:lvlJc w:val="left"/>
      <w:pPr>
        <w:ind w:left="1133" w:hanging="117"/>
      </w:pPr>
      <w:rPr>
        <w:rFonts w:ascii="Noto Sans Symbols" w:cs="Noto Sans Symbols" w:eastAsia="Noto Sans Symbols" w:hAnsi="Noto Sans Symbols"/>
      </w:rPr>
    </w:lvl>
    <w:lvl w:ilvl="2">
      <w:start w:val="0"/>
      <w:numFmt w:val="bullet"/>
      <w:lvlText w:val="●"/>
      <w:lvlJc w:val="left"/>
      <w:pPr>
        <w:ind w:left="2086" w:hanging="117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●"/>
      <w:lvlJc w:val="left"/>
      <w:pPr>
        <w:ind w:left="3039" w:hanging="117"/>
      </w:pPr>
      <w:rPr>
        <w:rFonts w:ascii="Noto Sans Symbols" w:cs="Noto Sans Symbols" w:eastAsia="Noto Sans Symbols" w:hAnsi="Noto Sans Symbols"/>
      </w:rPr>
    </w:lvl>
    <w:lvl w:ilvl="4">
      <w:start w:val="0"/>
      <w:numFmt w:val="bullet"/>
      <w:lvlText w:val="●"/>
      <w:lvlJc w:val="left"/>
      <w:pPr>
        <w:ind w:left="3992" w:hanging="117"/>
      </w:pPr>
      <w:rPr>
        <w:rFonts w:ascii="Noto Sans Symbols" w:cs="Noto Sans Symbols" w:eastAsia="Noto Sans Symbols" w:hAnsi="Noto Sans Symbols"/>
      </w:rPr>
    </w:lvl>
    <w:lvl w:ilvl="5">
      <w:start w:val="0"/>
      <w:numFmt w:val="bullet"/>
      <w:lvlText w:val="●"/>
      <w:lvlJc w:val="left"/>
      <w:pPr>
        <w:ind w:left="4946" w:hanging="117"/>
      </w:pPr>
      <w:rPr>
        <w:rFonts w:ascii="Noto Sans Symbols" w:cs="Noto Sans Symbols" w:eastAsia="Noto Sans Symbols" w:hAnsi="Noto Sans Symbols"/>
      </w:rPr>
    </w:lvl>
    <w:lvl w:ilvl="6">
      <w:start w:val="0"/>
      <w:numFmt w:val="bullet"/>
      <w:lvlText w:val="●"/>
      <w:lvlJc w:val="left"/>
      <w:pPr>
        <w:ind w:left="5899" w:hanging="117.00000000000091"/>
      </w:pPr>
      <w:rPr>
        <w:rFonts w:ascii="Noto Sans Symbols" w:cs="Noto Sans Symbols" w:eastAsia="Noto Sans Symbols" w:hAnsi="Noto Sans Symbols"/>
      </w:rPr>
    </w:lvl>
    <w:lvl w:ilvl="7">
      <w:start w:val="0"/>
      <w:numFmt w:val="bullet"/>
      <w:lvlText w:val="●"/>
      <w:lvlJc w:val="left"/>
      <w:pPr>
        <w:ind w:left="6852" w:hanging="117"/>
      </w:pPr>
      <w:rPr>
        <w:rFonts w:ascii="Noto Sans Symbols" w:cs="Noto Sans Symbols" w:eastAsia="Noto Sans Symbols" w:hAnsi="Noto Sans Symbols"/>
      </w:rPr>
    </w:lvl>
    <w:lvl w:ilvl="8">
      <w:start w:val="0"/>
      <w:numFmt w:val="bullet"/>
      <w:lvlText w:val="●"/>
      <w:lvlJc w:val="left"/>
      <w:pPr>
        <w:ind w:left="7805" w:hanging="117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0.0" w:type="dxa"/>
        <w:left w:w="5.0" w:type="dxa"/>
        <w:bottom w:w="0.0" w:type="dxa"/>
        <w:right w:w="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1.png"/><Relationship Id="rId13" Type="http://schemas.openxmlformats.org/officeDocument/2006/relationships/image" Target="media/image6.jpg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image" Target="media/image4.png"/><Relationship Id="rId14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hyperlink" Target="https://forms.gle/2YckVLofcdSo1YRYA" TargetMode="External"/><Relationship Id="rId7" Type="http://schemas.openxmlformats.org/officeDocument/2006/relationships/image" Target="media/image9.png"/><Relationship Id="rId8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