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001/2021</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lineRule="auto" w:line="276" w:before="94" w:after="24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II PROCESSO SELETIVO PARA ESTÁGIO DE PÓS-GRADUAÇÃO EM DIREITO PARA ATUAÇÃO FORENSE CRIMINAL</w:t>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SUBDEFENSOR PÚBLICO-GERAL DO ESTADO</w:t>
      </w:r>
      <w:r>
        <w:rPr>
          <w:rFonts w:ascii="Times New Roman" w:hAnsi="Times New Roman"/>
          <w:color w:val="000000" w:themeColor="text1"/>
          <w:sz w:val="24"/>
          <w:szCs w:val="24"/>
        </w:rPr>
        <w:t xml:space="preserve">, no uso das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20/07/2021 a 25/07/2021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lang w:bidi="pt-PT"/>
        </w:rPr>
        <w:t>II PROCESSO SELETIVO PARA ESTÁGIO DE PÓS-GRADUAÇÃO EM DIREITO PARA ATUAÇÃO FORENSE CRIMINAL</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nos núcleos da capital, das quais 10% das vagas se destinam a pessoas com deficiência, nos termos do inciso VIII do art. 37 da CF,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9"/>
        </w:numPr>
        <w:tabs>
          <w:tab w:val="clear" w:pos="708"/>
          <w:tab w:val="left" w:pos="689" w:leader="none"/>
        </w:tabs>
        <w:spacing w:lineRule="auto" w:line="247"/>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color w:val="000000" w:themeColor="text1"/>
          <w:sz w:val="24"/>
          <w:szCs w:val="24"/>
          <w:lang w:eastAsia="pt-PT" w:bidi="pt-PT"/>
        </w:rPr>
        <w:t>Portaria nº 764/2021 - DPGE</w:t>
      </w:r>
      <w:r>
        <w:rPr>
          <w:rFonts w:eastAsia="Arial" w:ascii="Times New Roman" w:hAnsi="Times New Roman"/>
          <w:color w:val="000000" w:themeColor="text1"/>
          <w:sz w:val="24"/>
          <w:szCs w:val="24"/>
          <w:shd w:fill="FFFFFF" w:val="clear"/>
          <w:lang w:val="pt-PT" w:eastAsia="pt-PT" w:bidi="pt-PT"/>
        </w:rPr>
        <w:t>,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numPr>
          <w:ilvl w:val="2"/>
          <w:numId w:val="9"/>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9"/>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não havendo vínculo empregatício entre os mesmos.</w:t>
      </w:r>
      <w:r>
        <w:rPr>
          <w:rFonts w:ascii="Times New Roman" w:hAnsi="Times New Roman"/>
          <w:color w:val="000000" w:themeColor="text1"/>
          <w:sz w:val="24"/>
          <w:szCs w:val="24"/>
        </w:rPr>
        <w:t xml:space="preserve"> </w:t>
      </w:r>
    </w:p>
    <w:p>
      <w:pPr>
        <w:pStyle w:val="Corpodotexto"/>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color w:val="000000" w:themeColor="text1"/>
          <w:sz w:val="24"/>
          <w:szCs w:val="24"/>
          <w:lang w:val="pt-BR" w:eastAsia="en-US" w:bidi="ar-SA"/>
        </w:rPr>
        <w:t>ANÁLISE CURRICULAR</w:t>
      </w:r>
      <w:r>
        <w:rPr>
          <w:rFonts w:eastAsia="Calibri" w:cs="Times New Roman" w:ascii="Times New Roman" w:hAnsi="Times New Roman"/>
          <w:color w:val="000000" w:themeColor="text1"/>
          <w:sz w:val="24"/>
          <w:szCs w:val="24"/>
          <w:lang w:val="pt-BR" w:eastAsia="en-US" w:bidi="ar-SA"/>
        </w:rPr>
        <w:t xml:space="preserve">,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color w:val="000000" w:themeColor="text1"/>
          <w:sz w:val="24"/>
          <w:szCs w:val="24"/>
          <w:lang w:val="pt-BR" w:eastAsia="en-US" w:bidi="ar-SA"/>
        </w:rPr>
        <w:t>PROVA DISSERTATIVA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w:t>
      </w:r>
      <w:r>
        <w:rPr>
          <w:rFonts w:cs="Times New Roman" w:ascii="Times New Roman" w:hAnsi="Times New Roman"/>
          <w:b/>
          <w:color w:val="000000" w:themeColor="text1"/>
          <w:sz w:val="24"/>
          <w:szCs w:val="24"/>
          <w:lang w:val="pt-BR"/>
        </w:rPr>
        <w:t>CRONOGRAMA</w:t>
      </w:r>
      <w:r>
        <w:rPr>
          <w:rFonts w:cs="Times New Roman" w:ascii="Times New Roman" w:hAnsi="Times New Roman"/>
          <w:color w:val="000000" w:themeColor="text1"/>
          <w:sz w:val="24"/>
          <w:szCs w:val="24"/>
          <w:lang w:val="pt-BR"/>
        </w:rPr>
        <w:t xml:space="preserve"> do Processo Seletivo está disposto no </w:t>
      </w:r>
      <w:r>
        <w:rPr>
          <w:rFonts w:cs="Times New Roman" w:ascii="Times New Roman" w:hAnsi="Times New Roman"/>
          <w:b/>
          <w:bCs/>
          <w:color w:val="000000" w:themeColor="text1"/>
          <w:sz w:val="24"/>
          <w:szCs w:val="24"/>
          <w:lang w:val="pt-BR"/>
        </w:rPr>
        <w:t>ANEXO I</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CONTEÚDO PROGRAMÁTICO</w:t>
      </w:r>
      <w:r>
        <w:rPr>
          <w:rFonts w:ascii="Times New Roman" w:hAnsi="Times New Roman"/>
          <w:color w:val="000000" w:themeColor="text1"/>
          <w:sz w:val="24"/>
          <w:szCs w:val="24"/>
        </w:rPr>
        <w:t xml:space="preserve"> está disposto no </w:t>
      </w:r>
      <w:r>
        <w:rPr>
          <w:rFonts w:ascii="Times New Roman" w:hAnsi="Times New Roman"/>
          <w:b/>
          <w:color w:val="000000" w:themeColor="text1"/>
          <w:sz w:val="24"/>
          <w:szCs w:val="24"/>
        </w:rPr>
        <w:t>ANEXO II</w:t>
      </w:r>
      <w:r>
        <w:rPr>
          <w:rFonts w:ascii="Times New Roman" w:hAnsi="Times New Roman"/>
          <w:color w:val="000000" w:themeColor="text1"/>
          <w:sz w:val="24"/>
          <w:szCs w:val="24"/>
        </w:rPr>
        <w:t xml:space="preserve"> deste edital. </w:t>
      </w:r>
    </w:p>
    <w:p>
      <w:pPr>
        <w:pStyle w:val="ListParagraph"/>
        <w:numPr>
          <w:ilvl w:val="0"/>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Corpodotexto"/>
        <w:numPr>
          <w:ilvl w:val="1"/>
          <w:numId w:val="15"/>
        </w:numPr>
        <w:spacing w:lineRule="auto" w:line="276" w:before="3" w:after="0"/>
        <w:ind w:left="284" w:hanging="0"/>
        <w:jc w:val="both"/>
        <w:rPr>
          <w:rFonts w:ascii="Times New Roman" w:hAnsi="Times New Roman" w:cs="Times New Roman"/>
          <w:color w:val="000000" w:themeColor="text1"/>
          <w:sz w:val="24"/>
          <w:szCs w:val="24"/>
          <w:lang w:val="pt-BR"/>
        </w:rPr>
      </w:pPr>
      <w:r>
        <w:rPr>
          <w:rFonts w:ascii="Times New Roman" w:hAnsi="Times New Roman"/>
          <w:color w:val="000000" w:themeColor="text1"/>
          <w:sz w:val="24"/>
          <w:szCs w:val="24"/>
        </w:rPr>
        <w:t xml:space="preserve"> </w:t>
      </w:r>
      <w:r>
        <w:rPr>
          <w:rFonts w:cs="Times New Roman" w:ascii="Times New Roman" w:hAnsi="Times New Roman"/>
          <w:color w:val="000000" w:themeColor="text1"/>
          <w:sz w:val="24"/>
          <w:szCs w:val="24"/>
          <w:lang w:val="pt-BR"/>
        </w:rPr>
        <w:t xml:space="preserve">O processo seletivo se destina a selecionar candidatos para 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ListParagraph"/>
        <w:numPr>
          <w:ilvl w:val="1"/>
          <w:numId w:val="15"/>
        </w:numPr>
        <w:spacing w:lineRule="auto" w:line="276" w:before="240" w:after="160"/>
        <w:ind w:left="28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xml:space="preserve"> não gera direito subjetivo à convocação.</w:t>
      </w:r>
    </w:p>
    <w:p>
      <w:pPr>
        <w:pStyle w:val="ListParagraph"/>
        <w:spacing w:lineRule="auto" w:line="276" w:before="240" w:after="160"/>
        <w:ind w:left="28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5"/>
        </w:numPr>
        <w:spacing w:lineRule="auto" w:line="276" w:before="240" w:after="160"/>
        <w:ind w:left="28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15"/>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15"/>
        </w:numPr>
        <w:tabs>
          <w:tab w:val="clear" w:pos="708"/>
          <w:tab w:val="left" w:pos="644" w:leader="none"/>
        </w:tabs>
        <w:spacing w:lineRule="auto" w:line="247" w:before="0" w:after="160"/>
        <w:ind w:left="360" w:right="116"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numPr>
          <w:ilvl w:val="1"/>
          <w:numId w:val="15"/>
        </w:numPr>
        <w:tabs>
          <w:tab w:val="clear" w:pos="708"/>
          <w:tab w:val="left" w:pos="659" w:leader="none"/>
        </w:tabs>
        <w:spacing w:lineRule="auto" w:line="247" w:before="1" w:after="160"/>
        <w:ind w:left="360" w:right="114" w:hanging="360"/>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w:t>
      </w:r>
    </w:p>
    <w:p>
      <w:pPr>
        <w:pStyle w:val="ListParagraph"/>
        <w:widowControl w:val="false"/>
        <w:numPr>
          <w:ilvl w:val="1"/>
          <w:numId w:val="15"/>
        </w:numPr>
        <w:tabs>
          <w:tab w:val="clear" w:pos="708"/>
          <w:tab w:val="left" w:pos="629" w:leader="none"/>
        </w:tabs>
        <w:spacing w:lineRule="auto" w:line="247" w:before="0" w:after="0"/>
        <w:ind w:left="360" w:right="112" w:hanging="3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5"/>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DAS PESSOAS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ListParagraph"/>
        <w:numPr>
          <w:ilvl w:val="1"/>
          <w:numId w:val="15"/>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5"/>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5"/>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15"/>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15"/>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15"/>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As inscrições deverão ser efetuadas única e exclusivamente pela internet, através do endereço eletrônico </w:t>
      </w:r>
      <w:r>
        <w:rPr>
          <w:rFonts w:cs="Times New Roman" w:ascii="Times New Roman" w:hAnsi="Times New Roman"/>
          <w:color w:val="000000" w:themeColor="text1"/>
          <w:sz w:val="24"/>
          <w:szCs w:val="24"/>
          <w:u w:val="single"/>
        </w:rPr>
        <w:t>defensoria.ma.def.br/seletivo</w:t>
      </w:r>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20/07/2021, a partir das 08:00 horas, até às 23:59 do dia 25/07/2021.</w:t>
      </w:r>
    </w:p>
    <w:p>
      <w:pPr>
        <w:pStyle w:val="ListParagraph"/>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3">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15"/>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4">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5">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ListParagraph"/>
        <w:spacing w:lineRule="auto" w:line="276" w:before="240" w:after="160"/>
        <w:ind w:left="1489" w:hanging="0"/>
        <w:contextualSpacing/>
        <w:jc w:val="both"/>
        <w:rPr>
          <w:rFonts w:ascii="Times New Roman" w:hAnsi="Times New Roman"/>
          <w:b/>
          <w:b/>
          <w:color w:val="000000" w:themeColor="text1"/>
          <w:sz w:val="24"/>
          <w:szCs w:val="24"/>
        </w:rPr>
      </w:pPr>
      <w:r>
        <w:rPr>
          <w:rFonts w:ascii="Times New Roman" w:hAnsi="Times New Roman"/>
          <w:color w:val="000000" w:themeColor="text1"/>
          <w:sz w:val="24"/>
          <w:szCs w:val="24"/>
        </w:rPr>
        <w:t xml:space="preserve">b.2 </w:t>
      </w:r>
      <w:r>
        <w:rPr>
          <w:rFonts w:ascii="Times New Roman" w:hAnsi="Times New Roman"/>
          <w:b/>
          <w:color w:val="000000" w:themeColor="text1"/>
          <w:sz w:val="24"/>
          <w:szCs w:val="24"/>
        </w:rPr>
        <w:t>DOCUMENTO DE IDENTIFICAÇÃO COM FOTO.</w:t>
      </w:r>
    </w:p>
    <w:p>
      <w:pPr>
        <w:pStyle w:val="Normal"/>
        <w:spacing w:lineRule="auto" w:line="276" w:before="240" w:after="16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15"/>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desclassifica o candidato, mesmo que tenha feito sua inscrição no endereço eletrônico descrito no subitem 5.2.</w:t>
      </w:r>
    </w:p>
    <w:p>
      <w:pPr>
        <w:pStyle w:val="ListParagraph"/>
        <w:spacing w:lineRule="auto" w:line="276" w:before="240" w:after="160"/>
        <w:ind w:left="79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0"/>
          <w:numId w:val="15"/>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15"/>
        </w:numPr>
        <w:spacing w:lineRule="auto" w:line="276" w:before="120" w:after="120"/>
        <w:ind w:left="284" w:hanging="1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PROVA DISSERTATIVA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15"/>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15"/>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uma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que pontuará os aspectos dispostos no item 8 deste Edital.</w:t>
      </w:r>
    </w:p>
    <w:p>
      <w:pPr>
        <w:pStyle w:val="NoSpacing"/>
        <w:numPr>
          <w:ilvl w:val="1"/>
          <w:numId w:val="15"/>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não comparecimento do candidato para a prova dissertativa mencionada no item 8 deste edital acarretará na sua eliminação automática desta seleção</w:t>
      </w:r>
    </w:p>
    <w:p>
      <w:pPr>
        <w:pStyle w:val="ListParagraph"/>
        <w:numPr>
          <w:ilvl w:val="0"/>
          <w:numId w:val="15"/>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15"/>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simplificado consistirá na análise do currículo e prova dissertativa.</w:t>
      </w:r>
    </w:p>
    <w:p>
      <w:pPr>
        <w:pStyle w:val="NoSpacing"/>
        <w:numPr>
          <w:ilvl w:val="1"/>
          <w:numId w:val="15"/>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360" w:before="0" w:after="0"/>
        <w:jc w:val="both"/>
        <w:rPr>
          <w:rFonts w:ascii="Times New Roman" w:hAnsi="Times New Roman" w:eastAsia="Times New Roman"/>
          <w:b/>
          <w:b/>
          <w:color w:val="000000" w:themeColor="text1"/>
          <w:sz w:val="24"/>
          <w:szCs w:val="24"/>
        </w:rPr>
      </w:pPr>
      <w:r>
        <w:rPr>
          <w:rFonts w:eastAsia="Times New Roman" w:ascii="Times New Roman" w:hAnsi="Times New Roman"/>
          <w:b/>
          <w:color w:val="000000" w:themeColor="text1"/>
          <w:sz w:val="24"/>
          <w:szCs w:val="24"/>
        </w:rPr>
      </w:r>
    </w:p>
    <w:tbl>
      <w:tblPr>
        <w:tblW w:w="913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center"/>
              <w:rPr>
                <w:rFonts w:ascii="Times New Roman" w:hAnsi="Times New Roman" w:eastAsia="Times New Roman"/>
                <w:color w:val="000000" w:themeColor="text1"/>
                <w:sz w:val="24"/>
                <w:szCs w:val="24"/>
                <w:lang w:val="en-US"/>
              </w:rPr>
            </w:pPr>
            <w:r>
              <w:rPr>
                <w:rFonts w:eastAsia="Times New Roman" w:ascii="Times New Roman" w:hAnsi="Times New Roman"/>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Jurídica em área criminal;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02 (dois) pontos para cada ano trabalhado, com limite máximo de 10 (dez) pontos. </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 nas demais áreas;</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 para cada ano trabalhado, com limite máximo de 10 (dez)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16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 xml:space="preserve">Experiência de Estágio Jurídico Extracurricular em área criminal;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rPr>
            </w:pPr>
            <w:r>
              <w:rPr>
                <w:rFonts w:eastAsia="Times New Roman" w:ascii="Times New Roman" w:hAnsi="Times New Roman"/>
                <w:color w:val="000000" w:themeColor="text1"/>
                <w:sz w:val="24"/>
                <w:szCs w:val="24"/>
                <w:lang w:eastAsia="pt-BR"/>
              </w:rPr>
              <w:t>02 (dois) pontos para cada semestre trabalhado, com limite máximo de 10 (dez)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240" w:after="16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Extracurricular em outras áreas;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01 (um) ponto para cada semestre trabalhado, com limite máximo de 05 (cinco) pontos; </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Pós-Graduação “Lato Sensu”, em nível de Especialização na área de </w:t>
            </w:r>
            <w:r>
              <w:rPr>
                <w:rFonts w:eastAsia="Times New Roman" w:ascii="Times New Roman" w:hAnsi="Times New Roman"/>
                <w:b/>
                <w:color w:val="000000" w:themeColor="text1"/>
                <w:sz w:val="24"/>
                <w:szCs w:val="24"/>
                <w:lang w:eastAsia="pt-BR"/>
              </w:rPr>
              <w:t>Direito Criminal</w:t>
            </w:r>
            <w:r>
              <w:rPr>
                <w:rFonts w:eastAsia="Times New Roman" w:ascii="Times New Roman" w:hAnsi="Times New Roman"/>
                <w:color w:val="000000" w:themeColor="text1"/>
                <w:sz w:val="24"/>
                <w:szCs w:val="24"/>
                <w:lang w:eastAsia="pt-BR"/>
              </w:rPr>
              <w:t>;</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01 (um) ponto,</w:t>
            </w:r>
            <w:bookmarkStart w:id="0" w:name="_GoBack"/>
            <w:bookmarkEnd w:id="0"/>
            <w:r>
              <w:rPr>
                <w:rFonts w:eastAsia="Times New Roman" w:ascii="Times New Roman" w:hAnsi="Times New Roman"/>
                <w:color w:val="000000" w:themeColor="text1"/>
                <w:sz w:val="24"/>
                <w:szCs w:val="24"/>
                <w:lang w:eastAsia="pt-BR"/>
              </w:rPr>
              <w:t xml:space="preserve"> com limite máximo de 02 (dois)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em nível de Especialização nas demais áreas de Direito;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com limite máximo de 01 (um) ponto;</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nível de Mestrado na área de Direito, concluída ou em andamento;</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03 (três) pontos, com limite máximo de 03 (três)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ou grupos de pesquisa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por grupo de estudo/pesquisa, com limite máximo de 3,0 (três) pontos;</w:t>
            </w:r>
          </w:p>
        </w:tc>
      </w:tr>
      <w:tr>
        <w:trPr/>
        <w:tc>
          <w:tcPr>
            <w:tcW w:w="6218" w:type="dxa"/>
            <w:tcBorders>
              <w:top w:val="single" w:sz="4" w:space="0" w:color="000000"/>
              <w:left w:val="single" w:sz="4" w:space="0" w:color="000000"/>
              <w:bottom w:val="single" w:sz="4" w:space="0" w:color="000000"/>
            </w:tcBorders>
          </w:tcPr>
          <w:p>
            <w:pPr>
              <w:pStyle w:val="Normal"/>
              <w:widowControl w:val="false"/>
              <w:tabs>
                <w:tab w:val="clear" w:pos="708"/>
                <w:tab w:val="left" w:pos="1672" w:leader="none"/>
              </w:tabs>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Exercício da função de monitoria na área de Direito, de disciplina vinculada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por monitoria, com limite máximo de 3,0 (três) pontos;</w:t>
            </w:r>
          </w:p>
        </w:tc>
      </w:tr>
      <w:tr>
        <w:trPr/>
        <w:tc>
          <w:tcPr>
            <w:tcW w:w="6218" w:type="dxa"/>
            <w:tcBorders>
              <w:top w:val="single" w:sz="4" w:space="0" w:color="000000"/>
              <w:left w:val="single" w:sz="4" w:space="0" w:color="000000"/>
              <w:bottom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Publicação de artigo jurídico ou apresentação de trabalho/banner jurídico; </w:t>
            </w:r>
          </w:p>
        </w:tc>
        <w:tc>
          <w:tcPr>
            <w:tcW w:w="291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por artigo/trabalho/banner, com limite máximo de 03 (três) pontos;</w:t>
            </w:r>
          </w:p>
        </w:tc>
      </w:tr>
    </w:tbl>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JURÍDICA NA ÁREA CRIMINAL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 nas demais áreas</w:t>
      </w:r>
      <w:r>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NA ÁREA CRIMINAL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7.2.3.1.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 nas demais áreas</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Cs/>
          <w:color w:val="000000" w:themeColor="text1"/>
          <w:sz w:val="24"/>
          <w:szCs w:val="24"/>
        </w:rPr>
        <w:t xml:space="preserve">apresentar </w:t>
      </w:r>
      <w:r>
        <w:rPr>
          <w:rFonts w:ascii="Times New Roman" w:hAnsi="Times New Roman"/>
          <w:b/>
          <w:bCs/>
          <w:color w:val="000000" w:themeColor="text1"/>
          <w:sz w:val="24"/>
          <w:szCs w:val="24"/>
        </w:rPr>
        <w:t>Declaração de Matrícula,</w:t>
      </w:r>
      <w:r>
        <w:rPr>
          <w:rFonts w:ascii="Times New Roman" w:hAnsi="Times New Roman"/>
          <w:bCs/>
          <w:color w:val="000000" w:themeColor="text1"/>
          <w:sz w:val="24"/>
          <w:szCs w:val="24"/>
        </w:rPr>
        <w:t xml:space="preserve"> </w:t>
      </w:r>
      <w:r>
        <w:rPr>
          <w:rFonts w:ascii="Times New Roman" w:hAnsi="Times New Roman"/>
          <w:b/>
          <w:bCs/>
          <w:color w:val="000000" w:themeColor="text1"/>
          <w:sz w:val="24"/>
          <w:szCs w:val="24"/>
        </w:rPr>
        <w:t>Certificado ou Declaração de Conclusão do Curso, com reconhecimento pelo MEC.</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xml:space="preserve">, o candidato deverá apresentar cópia da capa e sumário de publicação e comprovação do Qualis da publicação e </w:t>
      </w:r>
      <w:r>
        <w:rPr>
          <w:rFonts w:ascii="Times New Roman" w:hAnsi="Times New Roman"/>
          <w:b/>
          <w:color w:val="000000" w:themeColor="text1"/>
          <w:sz w:val="24"/>
          <w:szCs w:val="24"/>
        </w:rPr>
        <w:t xml:space="preserve">APRESENTAÇÃO DE TRABALHO/BANNER </w:t>
      </w:r>
      <w:r>
        <w:rPr>
          <w:rFonts w:ascii="Times New Roman" w:hAnsi="Times New Roman"/>
          <w:color w:val="000000" w:themeColor="text1"/>
          <w:sz w:val="24"/>
          <w:szCs w:val="24"/>
        </w:rPr>
        <w:t>comprovar com certificado ou declaração;</w:t>
      </w:r>
    </w:p>
    <w:p>
      <w:pPr>
        <w:pStyle w:val="Normal"/>
        <w:spacing w:lineRule="auto" w:line="276" w:before="240" w:after="160"/>
        <w:ind w:left="708" w:hanging="0"/>
        <w:jc w:val="both"/>
        <w:rPr>
          <w:rFonts w:ascii="Times New Roman" w:hAnsi="Times New Roman"/>
          <w:color w:val="000000" w:themeColor="text1"/>
          <w:sz w:val="24"/>
          <w:szCs w:val="24"/>
        </w:rPr>
      </w:pPr>
      <w:r>
        <w:rPr>
          <w:rFonts w:ascii="Times New Roman" w:hAnsi="Times New Roman"/>
          <w:color w:val="000000" w:themeColor="text1"/>
          <w:sz w:val="24"/>
          <w:szCs w:val="24"/>
        </w:rPr>
        <w:t>7.3</w:t>
        <w:tab/>
        <w:t xml:space="preserve">A </w:t>
      </w:r>
      <w:r>
        <w:rPr>
          <w:rFonts w:ascii="Times New Roman" w:hAnsi="Times New Roman"/>
          <w:b/>
          <w:color w:val="000000" w:themeColor="text1"/>
          <w:sz w:val="24"/>
          <w:szCs w:val="24"/>
        </w:rPr>
        <w:t>ATIVIDADE JURÍDICA</w:t>
      </w:r>
      <w:r>
        <w:rPr>
          <w:rFonts w:ascii="Times New Roman" w:hAnsi="Times New Roman"/>
          <w:color w:val="000000" w:themeColor="text1"/>
          <w:sz w:val="24"/>
          <w:szCs w:val="24"/>
        </w:rPr>
        <w:t xml:space="preserve"> de que trata o item 7.2.1 de Edital, compreende:</w:t>
      </w:r>
    </w:p>
    <w:p>
      <w:pPr>
        <w:pStyle w:val="Normal"/>
        <w:spacing w:lineRule="auto" w:line="276" w:before="240" w:after="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7.3.1</w:t>
        <w:tab/>
        <w:t>Aquela exercida com exclusividade por bacharel em Direito;</w:t>
      </w:r>
    </w:p>
    <w:p>
      <w:pPr>
        <w:pStyle w:val="Normal"/>
        <w:spacing w:lineRule="auto" w:line="276" w:before="240" w:after="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7.3.2</w:t>
        <w:tab/>
        <w:t>O efetivo exercício de advocacia, inclusive voluntária, mediante a participação anual mínima em 5 (cinco) atos privativos de advogado (Lei nº 8.906, 4 de julho de 1994, art. 1º) em causas ou questões distintas;</w:t>
      </w:r>
    </w:p>
    <w:p>
      <w:pPr>
        <w:pStyle w:val="Normal"/>
        <w:spacing w:lineRule="auto" w:line="276" w:before="240" w:after="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7.3.3</w:t>
        <w:tab/>
        <w:t>O exercício de cargos, empregos ou funções, inclusive de magistério superior, que exija a utilização preponderante de conhecimento jurídico;</w:t>
      </w:r>
    </w:p>
    <w:p>
      <w:pPr>
        <w:pStyle w:val="Normal"/>
        <w:spacing w:lineRule="auto" w:line="276" w:before="240" w:after="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7.3.4</w:t>
        <w:tab/>
        <w:t>O exercício da função de conciliador junto a tribunais judiciais, juizados especiais, varas especiais, anexos de juizados especiais ou de varas judiciais, no mínimo por 16 (dezesseis) horas mensais e durante 1 (um) ano;</w:t>
      </w:r>
    </w:p>
    <w:p>
      <w:pPr>
        <w:pStyle w:val="Normal"/>
        <w:spacing w:lineRule="auto" w:line="276" w:before="240" w:after="0"/>
        <w:ind w:left="1416" w:hanging="0"/>
        <w:jc w:val="both"/>
        <w:rPr>
          <w:rFonts w:ascii="Times New Roman" w:hAnsi="Times New Roman"/>
          <w:color w:val="000000" w:themeColor="text1"/>
          <w:sz w:val="24"/>
          <w:szCs w:val="24"/>
        </w:rPr>
      </w:pPr>
      <w:r>
        <w:rPr>
          <w:rFonts w:ascii="Times New Roman" w:hAnsi="Times New Roman"/>
          <w:color w:val="000000" w:themeColor="text1"/>
          <w:sz w:val="24"/>
          <w:szCs w:val="24"/>
        </w:rPr>
        <w:t>7.3.5</w:t>
        <w:tab/>
        <w:t>O exercício da atividade de mediação ou de arbitragem na composição de litígios, mediante a participação anual mínima em 05 (cinco) atos.</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15"/>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PROVA DISSERTATIVA</w:t>
      </w:r>
    </w:p>
    <w:p>
      <w:pPr>
        <w:pStyle w:val="NoSpacing"/>
        <w:numPr>
          <w:ilvl w:val="1"/>
          <w:numId w:val="15"/>
        </w:numPr>
        <w:spacing w:lineRule="auto" w:line="276" w:before="0" w:after="240"/>
        <w:ind w:left="0"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os 100 (cem) candidatos com as melhores notas da fase de análise curricular: </w:t>
      </w:r>
    </w:p>
    <w:tbl>
      <w:tblPr>
        <w:tblStyle w:val="Tabelacomgrade"/>
        <w:tblW w:w="7016" w:type="dxa"/>
        <w:jc w:val="left"/>
        <w:tblInd w:w="1478" w:type="dxa"/>
        <w:tblLayout w:type="fixed"/>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widowControl/>
              <w:spacing w:lineRule="auto" w:line="276" w:before="0" w:after="24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AMPLA CONCORRÊNCIA</w:t>
            </w:r>
          </w:p>
        </w:tc>
        <w:tc>
          <w:tcPr>
            <w:tcW w:w="3381" w:type="dxa"/>
            <w:tcBorders/>
          </w:tcPr>
          <w:p>
            <w:pPr>
              <w:pStyle w:val="NoSpacing"/>
              <w:widowControl/>
              <w:spacing w:lineRule="auto" w:line="276" w:before="0" w:after="24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90 (noventa) convocados</w:t>
            </w:r>
          </w:p>
        </w:tc>
      </w:tr>
      <w:tr>
        <w:trPr/>
        <w:tc>
          <w:tcPr>
            <w:tcW w:w="3634" w:type="dxa"/>
            <w:tcBorders/>
          </w:tcPr>
          <w:p>
            <w:pPr>
              <w:pStyle w:val="NoSpacing"/>
              <w:widowControl/>
              <w:spacing w:lineRule="auto" w:line="276" w:before="0" w:after="24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PcD</w:t>
            </w:r>
          </w:p>
        </w:tc>
        <w:tc>
          <w:tcPr>
            <w:tcW w:w="3381" w:type="dxa"/>
            <w:tcBorders/>
          </w:tcPr>
          <w:p>
            <w:pPr>
              <w:pStyle w:val="NoSpacing"/>
              <w:widowControl/>
              <w:numPr>
                <w:ilvl w:val="0"/>
                <w:numId w:val="13"/>
              </w:numPr>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(dez) convocados</w:t>
            </w:r>
          </w:p>
        </w:tc>
      </w:tr>
    </w:tbl>
    <w:p>
      <w:pPr>
        <w:pStyle w:val="ListParagraph"/>
        <w:ind w:left="792" w:hanging="0"/>
        <w:rPr>
          <w:rFonts w:ascii="Times New Roman" w:hAnsi="Times New Roman" w:eastAsia="Calibri" w:eastAsiaTheme="minorHAnsi"/>
          <w:color w:val="000000" w:themeColor="text1"/>
          <w:sz w:val="24"/>
          <w:szCs w:val="24"/>
        </w:rPr>
      </w:pPr>
      <w:r>
        <w:rPr>
          <w:rFonts w:eastAsia="Calibri" w:eastAsiaTheme="minorHAnsi" w:ascii="Times New Roman" w:hAnsi="Times New Roman"/>
          <w:color w:val="000000" w:themeColor="text1"/>
          <w:sz w:val="24"/>
          <w:szCs w:val="24"/>
        </w:rPr>
      </w:r>
    </w:p>
    <w:p>
      <w:pPr>
        <w:pStyle w:val="Normal"/>
        <w:suppressAutoHyphens w:val="true"/>
        <w:spacing w:lineRule="auto" w:line="240" w:before="240" w:after="160"/>
        <w:ind w:left="360" w:hanging="360"/>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8.2 Os candidatos classificados receberão, através do E-MAIL INFORMADO NO MOMENTO DA INSCRIÇÃO, o link de acesso para a plataforma virtual e instruções específicas para a prova.</w:t>
      </w:r>
    </w:p>
    <w:p>
      <w:pPr>
        <w:pStyle w:val="ListParagraph"/>
        <w:numPr>
          <w:ilvl w:val="1"/>
          <w:numId w:val="14"/>
        </w:numPr>
        <w:suppressAutoHyphens w:val="true"/>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 xml:space="preserve">PROVA DISSERTATIVA </w:t>
      </w:r>
      <w:r>
        <w:rPr>
          <w:rFonts w:ascii="Times New Roman" w:hAnsi="Times New Roman"/>
          <w:color w:val="000000" w:themeColor="text1"/>
          <w:sz w:val="24"/>
          <w:szCs w:val="24"/>
        </w:rPr>
        <w:t xml:space="preserve">obedecerá ao </w:t>
      </w:r>
      <w:r>
        <w:rPr>
          <w:rFonts w:ascii="Times New Roman" w:hAnsi="Times New Roman"/>
          <w:b/>
          <w:color w:val="000000" w:themeColor="text1"/>
          <w:sz w:val="24"/>
          <w:szCs w:val="24"/>
        </w:rPr>
        <w:t>CONTEÚDO PROGRAMÁTICO DO ANEXO II</w:t>
      </w:r>
      <w:r>
        <w:rPr>
          <w:rFonts w:ascii="Times New Roman" w:hAnsi="Times New Roman"/>
          <w:color w:val="000000" w:themeColor="text1"/>
          <w:sz w:val="24"/>
          <w:szCs w:val="24"/>
        </w:rPr>
        <w:t>.</w:t>
      </w:r>
    </w:p>
    <w:p>
      <w:pPr>
        <w:pStyle w:val="ListParagraph"/>
        <w:suppressAutoHyphens w:val="true"/>
        <w:spacing w:lineRule="auto" w:line="240" w:before="240" w:after="160"/>
        <w:ind w:left="360" w:hanging="0"/>
        <w:contextualSpacing/>
        <w:jc w:val="bot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4"/>
        </w:numPr>
        <w:suppressAutoHyphens w:val="true"/>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ascii="Times New Roman" w:hAnsi="Times New Roman"/>
          <w:color w:val="000000" w:themeColor="text1"/>
          <w:sz w:val="24"/>
          <w:szCs w:val="24"/>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ListParagrap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4"/>
        </w:numPr>
        <w:suppressAutoHyphens w:val="true"/>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Cs/>
          <w:color w:val="000000" w:themeColor="text1"/>
          <w:sz w:val="24"/>
          <w:szCs w:val="24"/>
        </w:rPr>
        <w:t xml:space="preserve">Na </w:t>
      </w:r>
      <w:r>
        <w:rPr>
          <w:rFonts w:eastAsia="Calibri" w:ascii="Times New Roman" w:hAnsi="Times New Roman" w:eastAsiaTheme="minorHAnsi"/>
          <w:b/>
          <w:bCs/>
          <w:color w:val="000000" w:themeColor="text1"/>
          <w:sz w:val="24"/>
          <w:szCs w:val="24"/>
        </w:rPr>
        <w:t>PROVA DISSERTATIVA</w:t>
      </w:r>
      <w:r>
        <w:rPr>
          <w:rFonts w:eastAsia="Calibri" w:ascii="Times New Roman" w:hAnsi="Times New Roman" w:eastAsiaTheme="minorHAnsi"/>
          <w:bCs/>
          <w:color w:val="000000" w:themeColor="text1"/>
          <w:sz w:val="24"/>
          <w:szCs w:val="24"/>
        </w:rPr>
        <w:t xml:space="preserve"> é vedada a citação de textos de autoria diversa, sendo permitida apenas a transcrição de lei seca e súmula de jurisprudência.</w:t>
      </w:r>
    </w:p>
    <w:p>
      <w:pPr>
        <w:pStyle w:val="ListParagrap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4"/>
        </w:numPr>
        <w:suppressAutoHyphens w:val="true"/>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Cs/>
          <w:color w:val="000000" w:themeColor="text1"/>
          <w:sz w:val="24"/>
          <w:szCs w:val="24"/>
        </w:rPr>
        <w:t xml:space="preserve">Caso seja identificado plágio na </w:t>
      </w:r>
      <w:r>
        <w:rPr>
          <w:rFonts w:eastAsia="Calibri" w:ascii="Times New Roman" w:hAnsi="Times New Roman" w:eastAsiaTheme="minorHAnsi"/>
          <w:b/>
          <w:bCs/>
          <w:color w:val="000000" w:themeColor="text1"/>
          <w:sz w:val="24"/>
          <w:szCs w:val="24"/>
        </w:rPr>
        <w:t>PROVA DISSERTATIVA</w:t>
      </w:r>
      <w:r>
        <w:rPr>
          <w:rFonts w:eastAsia="Calibri" w:ascii="Times New Roman" w:hAnsi="Times New Roman" w:eastAsiaTheme="minorHAnsi"/>
          <w:bCs/>
          <w:color w:val="000000" w:themeColor="text1"/>
          <w:sz w:val="24"/>
          <w:szCs w:val="24"/>
        </w:rPr>
        <w:t xml:space="preserve">, o candidato estará automaticamente eliminado. </w:t>
      </w:r>
    </w:p>
    <w:p>
      <w:pPr>
        <w:pStyle w:val="NoSpacing"/>
        <w:numPr>
          <w:ilvl w:val="1"/>
          <w:numId w:val="14"/>
        </w:numPr>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todos os candidatos que tiverem atingido a nota mínima de 20 (vinte) pontos na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w:t>
      </w:r>
    </w:p>
    <w:p>
      <w:pPr>
        <w:pStyle w:val="ListParagraph"/>
        <w:numPr>
          <w:ilvl w:val="1"/>
          <w:numId w:val="14"/>
        </w:numPr>
        <w:suppressAutoHyphens w:val="true"/>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
          <w:bCs/>
          <w:color w:val="000000" w:themeColor="text1"/>
          <w:sz w:val="24"/>
          <w:szCs w:val="24"/>
        </w:rPr>
        <w:t>A nota final do seletivo é composta pela soma da nota da avaliação curricular e da nota da prova dissertativa.</w:t>
      </w:r>
    </w:p>
    <w:p>
      <w:pPr>
        <w:pStyle w:val="NoSpacing"/>
        <w:numPr>
          <w:ilvl w:val="1"/>
          <w:numId w:val="14"/>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não comparecimento do candidato à </w:t>
      </w:r>
      <w:r>
        <w:rPr>
          <w:rFonts w:cs="Times New Roman" w:ascii="Times New Roman" w:hAnsi="Times New Roman"/>
          <w:b/>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implicará em sua eliminação automática.</w:t>
      </w:r>
    </w:p>
    <w:p>
      <w:pPr>
        <w:pStyle w:val="NoSpacing"/>
        <w:numPr>
          <w:ilvl w:val="0"/>
          <w:numId w:val="14"/>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1"/>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Criminal;</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 na área Criminal.</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Prova Dissertativa,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Prova Dissertativa;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Criminal;</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 xml:space="preserve">Experiência de estágio extracurricular na área Criminal. </w:t>
      </w:r>
    </w:p>
    <w:p>
      <w:pPr>
        <w:pStyle w:val="Normal"/>
        <w:spacing w:lineRule="auto" w:line="276"/>
        <w:jc w:val="both"/>
        <w:rPr>
          <w:rFonts w:ascii="Times New Roman" w:hAnsi="Times New Roman" w:eastAsia="Calibri" w:eastAsiaTheme="minorHAnsi"/>
          <w:color w:val="000000" w:themeColor="text1"/>
          <w:w w:val="102"/>
          <w:sz w:val="24"/>
          <w:szCs w:val="24"/>
        </w:rPr>
      </w:pPr>
      <w:r>
        <w:rPr>
          <w:rFonts w:eastAsia="Calibri" w:eastAsiaTheme="minorHAnsi" w:ascii="Times New Roman" w:hAnsi="Times New Roman"/>
          <w:color w:val="000000" w:themeColor="text1"/>
          <w:w w:val="102"/>
          <w:sz w:val="24"/>
          <w:szCs w:val="24"/>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01 (um) dia útil</w:t>
      </w:r>
      <w:r>
        <w:rPr>
          <w:rFonts w:ascii="Times New Roman" w:hAnsi="Times New Roman"/>
          <w:color w:val="000000" w:themeColor="text1"/>
          <w:sz w:val="24"/>
          <w:szCs w:val="24"/>
        </w:rPr>
        <w:t>, contado do primeiro dia subsequente à publicação dos resultados referentes a:</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numPr>
          <w:ilvl w:val="2"/>
          <w:numId w:val="8"/>
        </w:numPr>
        <w:tabs>
          <w:tab w:val="clear" w:pos="708"/>
          <w:tab w:val="left" w:pos="0" w:leader="none"/>
        </w:tabs>
        <w:spacing w:lineRule="auto" w:line="276" w:before="2" w:after="1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Resultado Preliminar. </w:t>
      </w:r>
    </w:p>
    <w:p>
      <w:pPr>
        <w:pStyle w:val="ListParagraph"/>
        <w:widowControl w:val="false"/>
        <w:numPr>
          <w:ilvl w:val="1"/>
          <w:numId w:val="8"/>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6">
        <w:r>
          <w:rPr>
            <w:rStyle w:val="LinkdaInternet"/>
            <w:rFonts w:ascii="Times New Roman" w:hAnsi="Times New Roman"/>
            <w:b/>
            <w:sz w:val="24"/>
            <w:szCs w:val="24"/>
          </w:rPr>
          <w:t>seletivos2021@ma.def.br</w:t>
        </w:r>
      </w:hyperlink>
      <w:r>
        <w:rPr>
          <w:rFonts w:ascii="Times New Roman" w:hAnsi="Times New Roman"/>
          <w:b/>
          <w:color w:val="000000" w:themeColor="text1"/>
          <w:sz w:val="24"/>
          <w:szCs w:val="24"/>
        </w:rPr>
        <w:t>).</w:t>
      </w:r>
    </w:p>
    <w:p>
      <w:pPr>
        <w:pStyle w:val="Ttulo1"/>
        <w:numPr>
          <w:ilvl w:val="0"/>
          <w:numId w:val="8"/>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8"/>
        </w:numPr>
        <w:tabs>
          <w:tab w:val="clear" w:pos="708"/>
          <w:tab w:val="left" w:pos="709"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prova dissertativa,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851"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7"/>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 e 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40" w:leader="none"/>
        </w:tabs>
        <w:spacing w:lineRule="auto" w:line="276" w:before="0" w:after="0"/>
        <w:ind w:left="284" w:right="119"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755" w:leader="none"/>
        </w:tabs>
        <w:spacing w:lineRule="auto" w:line="276" w:before="0" w:after="160"/>
        <w:ind w:left="284"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76" w:before="0" w:after="160"/>
        <w:ind w:left="284"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76" w:before="0" w:after="16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8"/>
        </w:numPr>
        <w:tabs>
          <w:tab w:val="clear" w:pos="708"/>
          <w:tab w:val="left" w:pos="740" w:leader="none"/>
        </w:tabs>
        <w:spacing w:lineRule="auto" w:line="276" w:before="0" w:after="16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76" w:before="1" w:after="160"/>
        <w:ind w:left="284"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851" w:leader="none"/>
        </w:tabs>
        <w:spacing w:lineRule="auto" w:line="276" w:before="0" w:after="160"/>
        <w:ind w:left="28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8"/>
        </w:numPr>
        <w:tabs>
          <w:tab w:val="clear" w:pos="708"/>
          <w:tab w:val="left" w:pos="567" w:leader="none"/>
        </w:tabs>
        <w:spacing w:lineRule="auto" w:line="276"/>
        <w:ind w:left="284" w:firstLine="65"/>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76" w:before="240" w:after="0"/>
        <w:ind w:left="284"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16 de julho de 2021.</w:t>
      </w:r>
    </w:p>
    <w:p>
      <w:pPr>
        <w:pStyle w:val="Normal"/>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jc w:val="center"/>
        <w:rPr>
          <w:rFonts w:ascii="Times New Roman" w:hAnsi="Times New Roman"/>
          <w:b/>
          <w:b/>
          <w:sz w:val="24"/>
          <w:szCs w:val="24"/>
        </w:rPr>
      </w:pPr>
      <w:r>
        <w:rPr>
          <w:rFonts w:ascii="Times New Roman" w:hAnsi="Times New Roman"/>
          <w:color w:val="000000" w:themeColor="text1"/>
          <w:sz w:val="24"/>
          <w:szCs w:val="24"/>
        </w:rPr>
        <w:br/>
      </w:r>
      <w:r>
        <w:rPr>
          <w:rFonts w:ascii="Times New Roman" w:hAnsi="Times New Roman"/>
          <w:b/>
          <w:sz w:val="24"/>
          <w:szCs w:val="24"/>
        </w:rPr>
        <w:t>GABRIEL SANTANA FURTADO SOARES</w:t>
      </w:r>
    </w:p>
    <w:p>
      <w:pPr>
        <w:sectPr>
          <w:headerReference w:type="default" r:id="rId7"/>
          <w:footerReference w:type="default" r:id="rId8"/>
          <w:type w:val="nextPage"/>
          <w:pgSz w:w="11906" w:h="16838"/>
          <w:pgMar w:left="1701" w:right="1701" w:header="568" w:top="1701" w:footer="0" w:bottom="1418" w:gutter="0"/>
          <w:pgNumType w:fmt="decimal"/>
          <w:formProt w:val="false"/>
          <w:textDirection w:val="lrTb"/>
          <w:docGrid w:type="default" w:linePitch="360" w:charSpace="0"/>
        </w:sectPr>
        <w:pStyle w:val="Normal"/>
        <w:jc w:val="center"/>
        <w:rPr>
          <w:rFonts w:ascii="Times New Roman" w:hAnsi="Times New Roman"/>
          <w:sz w:val="24"/>
          <w:szCs w:val="24"/>
        </w:rPr>
      </w:pPr>
      <w:r>
        <w:rPr>
          <w:rFonts w:ascii="Times New Roman" w:hAnsi="Times New Roman"/>
          <w:sz w:val="24"/>
          <w:szCs w:val="24"/>
        </w:rPr>
        <w:t>Subdefensor Público-Geral do Estado do Maranhão</w:t>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I – CRONOGRAMA</w:t>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20/07/2021 até as 23:59 horas do dia 25/07/2021</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27/07/2021</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28/07/2021 </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e resultado preliminar da análise curricular;</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03/08/2021</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análise curricular;</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04/08/2021</w:t>
            </w:r>
          </w:p>
        </w:tc>
      </w:tr>
      <w:tr>
        <w:trPr>
          <w:trHeight w:val="851" w:hRule="atLeast"/>
        </w:trPr>
        <w:tc>
          <w:tcPr>
            <w:tcW w:w="4607" w:type="dxa"/>
            <w:tcBorders/>
            <w:shd w:color="auto" w:fill="auto" w:val="clear"/>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Resultado definitivo da análise curricular e convocação para prova dissertativa; </w:t>
            </w:r>
          </w:p>
        </w:tc>
        <w:tc>
          <w:tcPr>
            <w:tcW w:w="3886" w:type="dxa"/>
            <w:tcBorders/>
            <w:shd w:color="auto" w:fill="auto" w:val="clear"/>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06/08/2021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Aplicação da prova;</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10/08/2021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 da prova dissertativa;</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24/08/2021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do prazo para interposição de recursos contra o resultado preliminar</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25/08/2021</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e publicação do resultado final após recursos.</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r>
        <w:trPr>
          <w:trHeight w:val="851" w:hRule="atLeast"/>
        </w:trPr>
        <w:tc>
          <w:tcPr>
            <w:tcW w:w="4607" w:type="dxa"/>
            <w:tcBorders/>
            <w:vAlign w:val="center"/>
          </w:tcPr>
          <w:p>
            <w:pPr>
              <w:pStyle w:val="Normal"/>
              <w:widowControl/>
              <w:spacing w:before="0" w:after="16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Homologação do processo seletivo</w:t>
            </w:r>
          </w:p>
        </w:tc>
        <w:tc>
          <w:tcPr>
            <w:tcW w:w="3886" w:type="dxa"/>
            <w:tcBorders/>
            <w:vAlign w:val="center"/>
          </w:tcPr>
          <w:p>
            <w:pPr>
              <w:pStyle w:val="Normal"/>
              <w:widowControl/>
              <w:spacing w:before="0" w:after="16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bl>
    <w:p>
      <w:pPr>
        <w:pStyle w:val="Normal"/>
        <w:jc w:val="center"/>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b/>
          <w:b/>
          <w:sz w:val="24"/>
          <w:szCs w:val="24"/>
        </w:rPr>
      </w:pPr>
      <w:r>
        <w:rPr>
          <w:rFonts w:ascii="Times New Roman" w:hAnsi="Times New Roman"/>
          <w:b/>
          <w:sz w:val="24"/>
          <w:szCs w:val="24"/>
        </w:rPr>
        <w:t>ANEXO II</w:t>
      </w:r>
    </w:p>
    <w:p>
      <w:pPr>
        <w:pStyle w:val="Normal"/>
        <w:suppressAutoHyphens w:val="true"/>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 </w:t>
      </w:r>
      <w:r>
        <w:rPr>
          <w:rFonts w:eastAsia="Times New Roman" w:ascii="Times New Roman" w:hAnsi="Times New Roman"/>
          <w:bCs/>
          <w:color w:val="000000" w:themeColor="text1"/>
          <w:sz w:val="24"/>
          <w:szCs w:val="24"/>
          <w:lang w:eastAsia="zh-CN"/>
        </w:rPr>
        <w:t>1. Parte Geral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Princípios Penais Constitucionais.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Da Aplicação e da Interpretação da Lei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Da Teoria do Crime.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Da Ação Típica.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Da Ilicitude.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Da Culpabilidade.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Teoria do Erro Jurídico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1.8. Concurso de Pessoas.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1.9. Das Penas e suas Espécies.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1.10. Aplicação da Pena.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Concurso de Crimes.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1.12. Suspensão Condicional da Pena.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1.13. Livramento Condicional.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1.14. Das Medidas de Segurança.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1.15. Da Ação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1.16. Das Causas Extintivas da Punibilidade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Parte Especial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Dos Crimes contra a Pessoa.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Dos Crimes contra o Patrimônio.</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Dos Crimes contra Dignidade Sexual.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Dos Crimes contra Administração Pública.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Lei de Execução Penal (LEP)</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Lei dos Crime Hediondos (Lei nº 8.072/90)</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Lei Maria da Penha (Lei nº 11.340/2006)</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Lei de Drogas (Lei nº 11.343/2006)</w:t>
      </w:r>
    </w:p>
    <w:p>
      <w:pPr>
        <w:pStyle w:val="Normal"/>
        <w:suppressAutoHyphens w:val="true"/>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t>7. Lei do Pacote “AntiCrime” (Lei nº 13.964/2019).</w:t>
      </w:r>
    </w:p>
    <w:p>
      <w:pPr>
        <w:pStyle w:val="Normal"/>
        <w:suppressAutoHyphens w:val="true"/>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uppressAutoHyphens w:val="true"/>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 xml:space="preserve"> </w:t>
      </w:r>
      <w:r>
        <w:rPr>
          <w:rFonts w:eastAsia="Times New Roman" w:ascii="Times New Roman" w:hAnsi="Times New Roman"/>
          <w:b/>
          <w:bCs/>
          <w:color w:val="000000" w:themeColor="text1"/>
          <w:sz w:val="24"/>
          <w:szCs w:val="24"/>
          <w:lang w:eastAsia="zh-CN"/>
        </w:rPr>
        <w:t>DIREITO PROCESSUAL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Princípios Constitucionais.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Do Inquérito Policial.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Da Ação Penal.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Da Competência.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Da Prova.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Da Prisão, das Medidas Cautelares e da Liberdade Provisória (com as alterações trazidas pela Lei 12.403/11 e Lei nº 13.964/2019)</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Das Citações e Intimações.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8. Da Sentença</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 Dos Processos em Espécie.</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 Do Processo Comum</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9.1.1. Da Instrução Criminal.9.1.2. Do Procedimento Relativo aos Processos de Competência do Tribunal do Júri.</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10. Dos Recursos em Geral.</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11. Habeas Corpus.</w:t>
      </w:r>
    </w:p>
    <w:p>
      <w:pPr>
        <w:pStyle w:val="Normal"/>
        <w:suppressAutoHyphens w:val="true"/>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12. Revisão Criminal.</w:t>
      </w:r>
    </w:p>
    <w:p>
      <w:pPr>
        <w:pStyle w:val="Normal"/>
        <w:suppressAutoHyphens w:val="tru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Da Sentença – Dos Processos em espécie – Da Instrução Criminal – Júri - Dos Recursos em Geral – Denúncia e Prazos em Processo Penal – Ações Autônomas de Impugnação: Habeas Corpus e Revisão Criminal.</w:t>
      </w:r>
    </w:p>
    <w:p>
      <w:pPr>
        <w:pStyle w:val="Normal"/>
        <w:spacing w:before="0" w:after="160"/>
        <w:jc w:val="center"/>
        <w:rPr>
          <w:rFonts w:ascii="Times New Roman" w:hAnsi="Times New Roman"/>
          <w:b/>
          <w:b/>
          <w:sz w:val="24"/>
          <w:szCs w:val="24"/>
        </w:rPr>
      </w:pPr>
      <w:r>
        <w:rPr/>
      </w:r>
    </w:p>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7"/>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0" allowOverlap="1" relativeHeight="17">
              <wp:simplePos x="0" y="0"/>
              <wp:positionH relativeFrom="column">
                <wp:posOffset>509270</wp:posOffset>
              </wp:positionH>
              <wp:positionV relativeFrom="paragraph">
                <wp:posOffset>-33020</wp:posOffset>
              </wp:positionV>
              <wp:extent cx="4568825" cy="1270"/>
              <wp:effectExtent l="19050" t="19050" r="41910" b="38100"/>
              <wp:wrapNone/>
              <wp:docPr id="3" name="Conector reto 2" title="CONECTOR"/>
              <a:graphic xmlns:a="http://schemas.openxmlformats.org/drawingml/2006/main">
                <a:graphicData uri="http://schemas.microsoft.com/office/word/2010/wordprocessingShape">
                  <wps:wsp>
                    <wps:cNvSpPr/>
                    <wps:spPr>
                      <a:xfrm>
                        <a:off x="0" y="0"/>
                        <a:ext cx="4568040" cy="72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inline distT="0" distB="0" distL="0" distR="0">
          <wp:extent cx="1104900" cy="908685"/>
          <wp:effectExtent l="0" t="0" r="0" b="0"/>
          <wp:docPr id="2" name="Figura1" descr="LOGO DA DEFENSORIA PÚBLICA DO ESTADO DO 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LOGO DA DEFENSORIA PÚBLICA DO ESTADO DO MARANHÃO"/>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lang w:val="pt-PT" w:eastAsia="pt-PT" w:bidi="pt-PT"/>
      </w:rPr>
    </w:lvl>
    <w:lvl w:ilvl="2">
      <w:start w:val="0"/>
      <w:numFmt w:val="bullet"/>
      <w:lvlText w:val=""/>
      <w:lvlJc w:val="left"/>
      <w:pPr>
        <w:tabs>
          <w:tab w:val="num" w:pos="0"/>
        </w:tabs>
        <w:ind w:left="2500" w:hanging="234"/>
      </w:pPr>
      <w:rPr>
        <w:rFonts w:ascii="Symbol" w:hAnsi="Symbol" w:cs="Symbol" w:hint="default"/>
        <w:lang w:val="pt-PT" w:eastAsia="pt-PT" w:bidi="pt-PT"/>
      </w:rPr>
    </w:lvl>
    <w:lvl w:ilvl="3">
      <w:start w:val="0"/>
      <w:numFmt w:val="bullet"/>
      <w:lvlText w:val=""/>
      <w:lvlJc w:val="left"/>
      <w:pPr>
        <w:tabs>
          <w:tab w:val="num" w:pos="0"/>
        </w:tabs>
        <w:ind w:left="3490" w:hanging="234"/>
      </w:pPr>
      <w:rPr>
        <w:rFonts w:ascii="Symbol" w:hAnsi="Symbol" w:cs="Symbol" w:hint="default"/>
        <w:lang w:val="pt-PT" w:eastAsia="pt-PT" w:bidi="pt-PT"/>
      </w:rPr>
    </w:lvl>
    <w:lvl w:ilvl="4">
      <w:start w:val="0"/>
      <w:numFmt w:val="bullet"/>
      <w:lvlText w:val=""/>
      <w:lvlJc w:val="left"/>
      <w:pPr>
        <w:tabs>
          <w:tab w:val="num" w:pos="0"/>
        </w:tabs>
        <w:ind w:left="4480" w:hanging="234"/>
      </w:pPr>
      <w:rPr>
        <w:rFonts w:ascii="Symbol" w:hAnsi="Symbol" w:cs="Symbol" w:hint="default"/>
        <w:lang w:val="pt-PT" w:eastAsia="pt-PT" w:bidi="pt-PT"/>
      </w:rPr>
    </w:lvl>
    <w:lvl w:ilvl="5">
      <w:start w:val="0"/>
      <w:numFmt w:val="bullet"/>
      <w:lvlText w:val=""/>
      <w:lvlJc w:val="left"/>
      <w:pPr>
        <w:tabs>
          <w:tab w:val="num" w:pos="0"/>
        </w:tabs>
        <w:ind w:left="5470" w:hanging="234"/>
      </w:pPr>
      <w:rPr>
        <w:rFonts w:ascii="Symbol" w:hAnsi="Symbol" w:cs="Symbol" w:hint="default"/>
        <w:lang w:val="pt-PT" w:eastAsia="pt-PT" w:bidi="pt-PT"/>
      </w:rPr>
    </w:lvl>
    <w:lvl w:ilvl="6">
      <w:start w:val="0"/>
      <w:numFmt w:val="bullet"/>
      <w:lvlText w:val=""/>
      <w:lvlJc w:val="left"/>
      <w:pPr>
        <w:tabs>
          <w:tab w:val="num" w:pos="0"/>
        </w:tabs>
        <w:ind w:left="6460" w:hanging="234"/>
      </w:pPr>
      <w:rPr>
        <w:rFonts w:ascii="Symbol" w:hAnsi="Symbol" w:cs="Symbol" w:hint="default"/>
        <w:lang w:val="pt-PT" w:eastAsia="pt-PT" w:bidi="pt-PT"/>
      </w:rPr>
    </w:lvl>
    <w:lvl w:ilvl="7">
      <w:start w:val="0"/>
      <w:numFmt w:val="bullet"/>
      <w:lvlText w:val=""/>
      <w:lvlJc w:val="left"/>
      <w:pPr>
        <w:tabs>
          <w:tab w:val="num" w:pos="0"/>
        </w:tabs>
        <w:ind w:left="7450" w:hanging="234"/>
      </w:pPr>
      <w:rPr>
        <w:rFonts w:ascii="Symbol" w:hAnsi="Symbol" w:cs="Symbol" w:hint="default"/>
        <w:lang w:val="pt-PT" w:eastAsia="pt-PT" w:bidi="pt-PT"/>
      </w:rPr>
    </w:lvl>
    <w:lvl w:ilvl="8">
      <w:start w:val="0"/>
      <w:numFmt w:val="bullet"/>
      <w:lvlText w:val=""/>
      <w:lvlJc w:val="left"/>
      <w:pPr>
        <w:tabs>
          <w:tab w:val="num" w:pos="0"/>
        </w:tabs>
        <w:ind w:left="8440" w:hanging="234"/>
      </w:pPr>
      <w:rPr>
        <w:rFonts w:ascii="Symbol" w:hAnsi="Symbol" w:cs="Symbol" w:hint="default"/>
        <w:lang w:val="pt-PT" w:eastAsia="pt-PT" w:bidi="pt-P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ascii="Times New Roman" w:hAnsi="Times New Roman"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8"/>
      <w:numFmt w:val="decimal"/>
      <w:lvlText w:val="%1"/>
      <w:lvlJc w:val="left"/>
      <w:pPr>
        <w:tabs>
          <w:tab w:val="num" w:pos="0"/>
        </w:tabs>
        <w:ind w:left="360" w:hanging="360"/>
      </w:pPr>
      <w:rPr>
        <w:b w:val="false"/>
      </w:rPr>
    </w:lvl>
    <w:lvl w:ilvl="1">
      <w:start w:val="3"/>
      <w:numFmt w:val="decimal"/>
      <w:lvlText w:val="%1.%2"/>
      <w:lvlJc w:val="left"/>
      <w:pPr>
        <w:tabs>
          <w:tab w:val="num" w:pos="0"/>
        </w:tabs>
        <w:ind w:left="360" w:hanging="360"/>
      </w:pPr>
      <w:rPr>
        <w:b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15">
    <w:lvl w:ilvl="0">
      <w:start w:val="2"/>
      <w:numFmt w:val="decimal"/>
      <w:lvlText w:val="%1"/>
      <w:lvlJc w:val="left"/>
      <w:pPr>
        <w:tabs>
          <w:tab w:val="num" w:pos="0"/>
        </w:tabs>
        <w:ind w:left="360" w:hanging="360"/>
      </w:pPr>
      <w:rPr>
        <w:rFonts w:cs="Arial"/>
      </w:rPr>
    </w:lvl>
    <w:lvl w:ilvl="1">
      <w:start w:val="1"/>
      <w:numFmt w:val="decimal"/>
      <w:lvlText w:val="%1.%2"/>
      <w:lvlJc w:val="left"/>
      <w:pPr>
        <w:tabs>
          <w:tab w:val="num" w:pos="0"/>
        </w:tabs>
        <w:ind w:left="360" w:hanging="360"/>
      </w:pPr>
      <w:rPr>
        <w:b w:val="false"/>
        <w:rFonts w:cs="Arial"/>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440" w:hanging="144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800" w:hanging="1800"/>
      </w:pPr>
      <w:rPr>
        <w:rFonts w:cs="Arial"/>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c3973"/>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cc3973"/>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cc3973"/>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cc3973"/>
    <w:rPr>
      <w:rFonts w:ascii="Arial" w:hAnsi="Arial" w:eastAsia="Arial" w:cs="Arial"/>
      <w:lang w:val="pt-PT" w:eastAsia="pt-PT" w:bidi="pt-PT"/>
    </w:rPr>
  </w:style>
  <w:style w:type="character" w:styleId="LinkdaInternet" w:customStyle="1">
    <w:name w:val="Link da Internet"/>
    <w:basedOn w:val="DefaultParagraphFont"/>
    <w:uiPriority w:val="99"/>
    <w:unhideWhenUsed/>
    <w:rsid w:val="00a51280"/>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cc3973"/>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cc397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mailto:seletivos2021@ma.def.br" TargetMode="External"/><Relationship Id="rId4" Type="http://schemas.openxmlformats.org/officeDocument/2006/relationships/hyperlink" Target="http://defensoria.ma.def.br/seletivo" TargetMode="External"/><Relationship Id="rId5" Type="http://schemas.openxmlformats.org/officeDocument/2006/relationships/hyperlink" Target="http://lattes.cnpq.br/" TargetMode="External"/><Relationship Id="rId6" Type="http://schemas.openxmlformats.org/officeDocument/2006/relationships/hyperlink" Target="mailto:seletivos2021@ma.def.b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Application>LibreOffice/7.1.4.2$Windows_X86_64 LibreOffice_project/a529a4fab45b75fefc5b6226684193eb000654f6</Application>
  <AppVersion>15.0000</AppVersion>
  <Pages>14</Pages>
  <Words>3698</Words>
  <Characters>21171</Characters>
  <CharactersWithSpaces>24575</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2021-07-12T17:06:00Z</dcterms:created>
  <dc:creator>Lorena Fernandes</dc:creator>
  <dc:description/>
  <dc:language>pt-BR</dc:language>
  <cp:lastModifiedBy>Conta da Microsoft</cp:lastModifiedBy>
  <cp:lastPrinted>2021-07-16T13:27:00Z</cp:lastPrinted>
  <dcterms:modified xsi:type="dcterms:W3CDTF">2021-07-16T13:51:00Z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