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left="497" w:hanging="0"/>
        <w:jc w:val="center"/>
        <w:rPr>
          <w:rFonts w:ascii="Times New Roman" w:hAnsi="Times New Roman" w:eastAsia="Times New Roman"/>
          <w:color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>EDITAL Nº 009/2021</w:t>
      </w:r>
    </w:p>
    <w:p>
      <w:pPr>
        <w:pStyle w:val="Normal"/>
        <w:spacing w:lineRule="auto" w:line="240"/>
        <w:ind w:left="497" w:hanging="0"/>
        <w:jc w:val="center"/>
        <w:rPr>
          <w:rFonts w:ascii="Times New Roman" w:hAnsi="Times New Roman" w:eastAsia="Times New Roman"/>
          <w:b/>
          <w:b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</w:r>
    </w:p>
    <w:p>
      <w:pPr>
        <w:pStyle w:val="Normal"/>
        <w:spacing w:lineRule="auto" w:line="240"/>
        <w:ind w:left="1348" w:hanging="0"/>
        <w:jc w:val="center"/>
        <w:rPr>
          <w:rFonts w:ascii="Times New Roman" w:hAnsi="Times New Roman" w:eastAsia="Times New Roman"/>
          <w:b/>
          <w:b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>XVII PROCESSO SELETIVO PARA ESTÁGIO JURÍDICO DE GRADUAÇÃO DA DEFENSORIA PÚBLICA DO ESTADO DO MARANHÃO</w:t>
      </w:r>
    </w:p>
    <w:p>
      <w:pPr>
        <w:pStyle w:val="Normal"/>
        <w:spacing w:lineRule="auto" w:line="240"/>
        <w:ind w:left="497" w:hanging="0"/>
        <w:jc w:val="center"/>
        <w:rPr>
          <w:rFonts w:ascii="Times New Roman" w:hAnsi="Times New Roman" w:eastAsia="Times New Roman"/>
          <w:b/>
          <w:b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</w:r>
    </w:p>
    <w:p>
      <w:pPr>
        <w:pStyle w:val="Normal"/>
        <w:spacing w:lineRule="auto" w:line="240"/>
        <w:ind w:left="781" w:hanging="0"/>
        <w:jc w:val="both"/>
        <w:rPr>
          <w:rFonts w:ascii="Times New Roman" w:hAnsi="Times New Roman" w:eastAsia="Times New Roman"/>
          <w:b/>
          <w:b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 xml:space="preserve">O </w:t>
      </w: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>SUBDEFENSOR PÚBLICO-GERAL DO ESTADO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 xml:space="preserve">, no uso de suas atribuições legais e tendo em vista o </w:t>
      </w: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>XVII PROCESSO SELETIVO PARA ESTÁGIO JURÍDICO DE GRADUAÇÃO DA DEFENSORIA PÚBLICA DO ESTADO DO MARANHÃO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>, resolve:</w:t>
      </w:r>
    </w:p>
    <w:p>
      <w:pPr>
        <w:pStyle w:val="Normal"/>
        <w:spacing w:lineRule="auto" w:line="240"/>
        <w:ind w:left="497" w:hanging="0"/>
        <w:jc w:val="center"/>
        <w:rPr>
          <w:rFonts w:ascii="Times New Roman" w:hAnsi="Times New Roman" w:eastAsia="Times New Roman"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</w:r>
    </w:p>
    <w:p>
      <w:pPr>
        <w:pStyle w:val="Normal"/>
        <w:spacing w:lineRule="auto" w:line="240"/>
        <w:ind w:left="497" w:hanging="0"/>
        <w:jc w:val="center"/>
        <w:rPr>
          <w:rFonts w:ascii="Times New Roman" w:hAnsi="Times New Roman" w:eastAsia="Times New Roman"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</w:r>
    </w:p>
    <w:p>
      <w:pPr>
        <w:pStyle w:val="Normal"/>
        <w:spacing w:lineRule="auto" w:line="240"/>
        <w:ind w:left="781" w:hanging="0"/>
        <w:jc w:val="both"/>
        <w:rPr>
          <w:rFonts w:ascii="Times New Roman" w:hAnsi="Times New Roman" w:eastAsia="Times New Roman"/>
          <w:b/>
          <w:b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 xml:space="preserve">Art. 1º DIVULGAR 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 xml:space="preserve">o resultado da </w:t>
      </w:r>
      <w:r>
        <w:rPr>
          <w:rFonts w:eastAsia="Times New Roman" w:ascii="Times New Roman" w:hAnsi="Times New Roman"/>
          <w:sz w:val="24"/>
          <w:szCs w:val="24"/>
          <w:lang w:val="pt-PT" w:eastAsia="pt-PT" w:bidi="pt-PT"/>
        </w:rPr>
        <w:t xml:space="preserve">etapa de apuração de veracidade da declaração pela </w:t>
      </w:r>
      <w:r>
        <w:rPr>
          <w:rFonts w:eastAsia="Times New Roman" w:ascii="Times New Roman" w:hAnsi="Times New Roman"/>
          <w:b/>
          <w:sz w:val="24"/>
          <w:szCs w:val="24"/>
          <w:lang w:val="pt-PT" w:eastAsia="pt-PT" w:bidi="pt-PT"/>
        </w:rPr>
        <w:t>COMISSÃO DE HETEROIDENTIFICAÇÃO</w:t>
      </w:r>
      <w:r>
        <w:rPr>
          <w:rFonts w:eastAsia="Times New Roman" w:ascii="Times New Roman" w:hAnsi="Times New Roman"/>
          <w:sz w:val="24"/>
          <w:szCs w:val="24"/>
          <w:lang w:val="pt-PT" w:eastAsia="pt-PT" w:bidi="pt-PT"/>
        </w:rPr>
        <w:t xml:space="preserve">, conforme </w:t>
      </w:r>
      <w:r>
        <w:rPr>
          <w:rFonts w:eastAsia="Times New Roman" w:ascii="Times New Roman" w:hAnsi="Times New Roman"/>
          <w:b/>
          <w:sz w:val="24"/>
          <w:szCs w:val="24"/>
          <w:lang w:val="pt-PT" w:eastAsia="pt-PT" w:bidi="pt-PT"/>
        </w:rPr>
        <w:t>ANEXO ÚNICO</w:t>
      </w: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>;</w:t>
      </w:r>
    </w:p>
    <w:p>
      <w:pPr>
        <w:pStyle w:val="Normal"/>
        <w:widowControl w:val="false"/>
        <w:spacing w:lineRule="auto" w:line="240" w:before="0" w:after="0"/>
        <w:ind w:left="781" w:right="-70" w:hanging="0"/>
        <w:jc w:val="both"/>
        <w:rPr>
          <w:rFonts w:ascii="Times New Roman" w:hAnsi="Times New Roman" w:eastAsia="Times New Roman"/>
          <w:b/>
          <w:b/>
          <w:sz w:val="24"/>
          <w:szCs w:val="24"/>
          <w:lang w:val="pt-PT" w:eastAsia="pt-PT" w:bidi="pt-PT"/>
        </w:rPr>
      </w:pPr>
      <w:r>
        <w:rPr>
          <w:rFonts w:eastAsia="Times New Roman" w:ascii="Times New Roman" w:hAnsi="Times New Roman"/>
          <w:b/>
          <w:sz w:val="24"/>
          <w:szCs w:val="24"/>
          <w:lang w:val="pt-PT" w:eastAsia="pt-PT" w:bidi="pt-PT"/>
        </w:rPr>
        <w:t xml:space="preserve">Art. 2º CONVOCAR </w:t>
      </w:r>
      <w:r>
        <w:rPr>
          <w:rFonts w:eastAsia="Times New Roman" w:ascii="Times New Roman" w:hAnsi="Times New Roman"/>
          <w:sz w:val="24"/>
          <w:szCs w:val="24"/>
          <w:lang w:val="pt-PT" w:eastAsia="pt-PT" w:bidi="pt-PT"/>
        </w:rPr>
        <w:t xml:space="preserve">o candidato </w:t>
      </w:r>
      <w:r>
        <w:rPr>
          <w:rFonts w:eastAsia="Times New Roman" w:ascii="Times New Roman" w:hAnsi="Times New Roman"/>
          <w:b/>
          <w:sz w:val="24"/>
          <w:szCs w:val="24"/>
          <w:lang w:val="pt-PT" w:eastAsia="pt-PT" w:bidi="pt-PT"/>
        </w:rPr>
        <w:t>JONATAS GARCÊZ ARAÚJO</w:t>
      </w:r>
      <w:r>
        <w:rPr>
          <w:rFonts w:eastAsia="Times New Roman" w:ascii="Times New Roman" w:hAnsi="Times New Roman"/>
          <w:sz w:val="24"/>
          <w:szCs w:val="24"/>
          <w:lang w:val="pt-PT" w:eastAsia="pt-PT" w:bidi="pt-PT"/>
        </w:rPr>
        <w:t xml:space="preserve"> para a apuração de veracidade da declaração pela </w:t>
      </w:r>
      <w:r>
        <w:rPr>
          <w:rFonts w:eastAsia="Times New Roman" w:ascii="Times New Roman" w:hAnsi="Times New Roman"/>
          <w:b/>
          <w:sz w:val="24"/>
          <w:szCs w:val="24"/>
          <w:lang w:val="pt-PT" w:eastAsia="pt-PT" w:bidi="pt-PT"/>
        </w:rPr>
        <w:t>COMISSÃO DE HETEROIDENTIFICAÇÃO</w:t>
      </w:r>
      <w:r>
        <w:rPr>
          <w:rFonts w:eastAsia="Times New Roman" w:ascii="Times New Roman" w:hAnsi="Times New Roman"/>
          <w:sz w:val="24"/>
          <w:szCs w:val="24"/>
          <w:lang w:val="pt-PT" w:eastAsia="pt-PT" w:bidi="pt-PT"/>
        </w:rPr>
        <w:t>, dia 22/09/2021;</w:t>
      </w:r>
    </w:p>
    <w:p>
      <w:pPr>
        <w:pStyle w:val="Normal"/>
        <w:widowControl w:val="false"/>
        <w:spacing w:lineRule="auto" w:line="240" w:before="0" w:after="0"/>
        <w:ind w:left="781" w:right="-70" w:hanging="0"/>
        <w:jc w:val="both"/>
        <w:rPr>
          <w:rFonts w:ascii="Times New Roman" w:hAnsi="Times New Roman" w:eastAsia="Times New Roman"/>
          <w:sz w:val="24"/>
          <w:szCs w:val="24"/>
          <w:lang w:val="pt-PT" w:eastAsia="pt-PT" w:bidi="pt-PT"/>
        </w:rPr>
      </w:pPr>
      <w:r>
        <w:rPr>
          <w:rFonts w:eastAsia="Times New Roman" w:ascii="Times New Roman" w:hAnsi="Times New Roman"/>
          <w:sz w:val="24"/>
          <w:szCs w:val="24"/>
          <w:lang w:val="pt-PT" w:eastAsia="pt-PT" w:bidi="pt-PT"/>
        </w:rPr>
      </w:r>
    </w:p>
    <w:p>
      <w:pPr>
        <w:pStyle w:val="Normal"/>
        <w:widowControl w:val="false"/>
        <w:spacing w:lineRule="auto" w:line="240" w:before="0" w:after="0"/>
        <w:ind w:left="781" w:right="-70" w:hanging="0"/>
        <w:jc w:val="both"/>
        <w:rPr>
          <w:rFonts w:ascii="Times New Roman" w:hAnsi="Times New Roman" w:eastAsia="Times New Roman"/>
          <w:sz w:val="24"/>
          <w:szCs w:val="24"/>
          <w:lang w:val="pt-PT" w:eastAsia="pt-PT" w:bidi="pt-PT"/>
        </w:rPr>
      </w:pPr>
      <w:r>
        <w:rPr>
          <w:rFonts w:eastAsia="Times New Roman" w:ascii="Times New Roman" w:hAnsi="Times New Roman"/>
          <w:b/>
          <w:sz w:val="24"/>
          <w:szCs w:val="24"/>
          <w:lang w:val="pt-PT" w:eastAsia="pt-PT" w:bidi="pt-PT"/>
        </w:rPr>
        <w:t xml:space="preserve">Art. 3º INFORMAR </w:t>
      </w:r>
      <w:r>
        <w:rPr>
          <w:rFonts w:eastAsia="Times New Roman" w:ascii="Times New Roman" w:hAnsi="Times New Roman"/>
          <w:sz w:val="24"/>
          <w:szCs w:val="24"/>
          <w:lang w:val="pt-PT" w:eastAsia="pt-PT" w:bidi="pt-PT"/>
        </w:rPr>
        <w:t xml:space="preserve">que a apuração de veracidade da declaração ocorrerá através de plataforma virtual e que as instruções serão encaminhadas para o e-mail informado pelo candidato na inscrição. </w:t>
      </w:r>
    </w:p>
    <w:p>
      <w:pPr>
        <w:pStyle w:val="Normal"/>
        <w:widowControl w:val="false"/>
        <w:spacing w:lineRule="auto" w:line="240" w:before="2" w:after="0"/>
        <w:ind w:right="-70" w:hanging="0"/>
        <w:rPr>
          <w:rFonts w:ascii="Times New Roman" w:hAnsi="Times New Roman" w:eastAsia="Times New Roman"/>
          <w:sz w:val="24"/>
          <w:szCs w:val="24"/>
          <w:lang w:val="pt-PT" w:eastAsia="pt-PT" w:bidi="pt-PT"/>
        </w:rPr>
      </w:pPr>
      <w:r>
        <w:rPr>
          <w:rFonts w:eastAsia="Times New Roman" w:ascii="Times New Roman" w:hAnsi="Times New Roman"/>
          <w:sz w:val="24"/>
          <w:szCs w:val="24"/>
          <w:lang w:val="pt-PT" w:eastAsia="pt-PT" w:bidi="pt-PT"/>
        </w:rPr>
      </w:r>
    </w:p>
    <w:p>
      <w:pPr>
        <w:pStyle w:val="Normal"/>
        <w:spacing w:lineRule="auto" w:line="240"/>
        <w:ind w:left="781" w:right="-70" w:hanging="0"/>
        <w:rPr>
          <w:rFonts w:ascii="Times New Roman" w:hAnsi="Times New Roman" w:eastAsia="Times New Roman"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 xml:space="preserve">Art. 4º 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 xml:space="preserve">O presente Edital será </w:t>
      </w: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 xml:space="preserve">PUBLICADO </w:t>
      </w: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>no site da DPE/MA.</w:t>
      </w:r>
    </w:p>
    <w:p>
      <w:pPr>
        <w:pStyle w:val="Normal"/>
        <w:spacing w:lineRule="auto" w:line="240"/>
        <w:rPr>
          <w:rFonts w:ascii="Times New Roman" w:hAnsi="Times New Roman" w:eastAsia="Times New Roman"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</w:r>
    </w:p>
    <w:p>
      <w:pPr>
        <w:pStyle w:val="Normal"/>
        <w:spacing w:lineRule="auto" w:line="240"/>
        <w:ind w:left="497" w:hanging="0"/>
        <w:jc w:val="right"/>
        <w:rPr>
          <w:rFonts w:ascii="Times New Roman" w:hAnsi="Times New Roman" w:eastAsia="Times New Roman"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>São Luís, 20 de setembro de 2021</w:t>
      </w:r>
    </w:p>
    <w:p>
      <w:pPr>
        <w:pStyle w:val="Normal"/>
        <w:spacing w:lineRule="auto" w:line="240"/>
        <w:rPr>
          <w:rFonts w:ascii="Times New Roman" w:hAnsi="Times New Roman" w:eastAsia="Times New Roman"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</w:r>
    </w:p>
    <w:p>
      <w:pPr>
        <w:pStyle w:val="Normal"/>
        <w:spacing w:lineRule="auto" w:line="240"/>
        <w:ind w:left="497" w:hanging="0"/>
        <w:jc w:val="center"/>
        <w:rPr>
          <w:rFonts w:ascii="Times New Roman" w:hAnsi="Times New Roman" w:eastAsia="Times New Roman"/>
          <w:b/>
          <w:b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</w:r>
    </w:p>
    <w:p>
      <w:pPr>
        <w:pStyle w:val="Normal"/>
        <w:spacing w:lineRule="auto" w:line="240"/>
        <w:ind w:left="497" w:hanging="0"/>
        <w:jc w:val="center"/>
        <w:rPr>
          <w:rFonts w:ascii="Times New Roman" w:hAnsi="Times New Roman" w:eastAsia="Times New Roman"/>
          <w:b/>
          <w:b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 w:bidi="pt-PT"/>
        </w:rPr>
        <w:t>GABRIEL SANTANA FURTADO SOARES</w:t>
      </w:r>
    </w:p>
    <w:p>
      <w:pPr>
        <w:pStyle w:val="Normal"/>
        <w:spacing w:lineRule="auto" w:line="240"/>
        <w:ind w:left="497" w:hanging="0"/>
        <w:jc w:val="center"/>
        <w:rPr>
          <w:rFonts w:ascii="Times New Roman" w:hAnsi="Times New Roman" w:eastAsia="Times New Roman"/>
          <w:color w:val="000000"/>
          <w:sz w:val="24"/>
          <w:szCs w:val="24"/>
          <w:lang w:eastAsia="pt-BR" w:bidi="pt-PT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pt-BR" w:bidi="pt-PT"/>
        </w:rPr>
        <w:t>Subdefensor Público-Geral do Estado do Maranhão</w:t>
      </w:r>
    </w:p>
    <w:p>
      <w:pPr>
        <w:pStyle w:val="Normal"/>
        <w:spacing w:lineRule="auto" w:line="240"/>
        <w:ind w:left="2907" w:hanging="0"/>
        <w:rPr>
          <w:rFonts w:ascii="Times New Roman" w:hAnsi="Times New Roman" w:eastAsia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pt-BR"/>
        </w:rPr>
        <w:t xml:space="preserve">                       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ANEXO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ÚNICO – COMISSÃO DE HETEROIDENTIFICAÇÃO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CANDIDATOS/AS APROVADOS/AS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Tabelacomgrade"/>
        <w:tblW w:w="42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8"/>
      </w:tblGrid>
      <w:tr>
        <w:trPr/>
        <w:tc>
          <w:tcPr>
            <w:tcW w:w="4248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pt-BR" w:bidi="ar-SA"/>
              </w:rPr>
              <w:t>CANDIDATO/A</w:t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PETUNIA GALVÃO BEZERRA</w:t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ADEMIR CARVALHO PRADO</w:t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WALÉRIA FRANCO DE SÁ COSTA</w:t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MATHEUS BARROS CAMPOS</w:t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DIANA GABRIELLE SOEIRO BARROS</w:t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pt-BR" w:bidi="ar-SA"/>
              </w:rPr>
              <w:t>THAÍSA MACHADO NUNES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pt-BR" w:bidi="ar-SA"/>
              </w:rPr>
              <w:t>HUGO GABRIEL AROUCHA COELHO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pt-BR" w:bidi="ar-SA"/>
              </w:rPr>
              <w:t>PAULO GUILHERME DA SILVA ARAÚJO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pt-BR" w:bidi="ar-SA"/>
              </w:rPr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pt-BR" w:bidi="ar-SA"/>
              </w:rPr>
              <w:t>GUSTAVO KEWSEN DA SILVA ROCHA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pt-BR" w:bidi="ar-SA"/>
              </w:rPr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pt-BR" w:bidi="ar-SA"/>
              </w:rPr>
              <w:t>VICTOR MIGUEL ARAÚJO DA SILVA COSTA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pt-BR" w:bidi="ar-SA"/>
              </w:rPr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pt-BR" w:bidi="ar-SA"/>
              </w:rPr>
              <w:t>MARCOS PAULO DA LUZ CHAGAS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pt-BR" w:bidi="ar-SA"/>
              </w:rPr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pt-BR" w:bidi="ar-SA"/>
              </w:rPr>
              <w:t>ANA CAROLINA LIMA SILVA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pt-BR" w:bidi="ar-SA"/>
              </w:rPr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pt-BR" w:bidi="ar-SA"/>
              </w:rPr>
              <w:t>LETÍCIA DE ALMEIDA DOS SANTOS</w:t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pt-BR" w:bidi="ar-SA"/>
              </w:rPr>
              <w:t>LUCAS GABRIEL FERREIRA BARBOSA</w:t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pt-BR" w:bidi="ar-SA"/>
              </w:rPr>
              <w:t>CYNTHIA LETÍCIA PEREIRA SANTOS</w:t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pt-BR" w:bidi="ar-SA"/>
              </w:rPr>
              <w:t>BRENDA DE JESUS LINDOSO DOS SANTOS</w:t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pt-BR" w:bidi="ar-SA"/>
              </w:rPr>
              <w:t>MATTHEUS MONTEIRO COSTA SILVA</w:t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pt-BR" w:bidi="ar-SA"/>
              </w:rPr>
              <w:t>VALDINEY SEREJO CARDOSO</w:t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pt-BR" w:bidi="ar-SA"/>
              </w:rPr>
              <w:t>JOÃO LEITE COELHO NETO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pt-BR" w:bidi="ar-SA"/>
              </w:rPr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pt-BR" w:bidi="ar-SA"/>
              </w:rPr>
              <w:t>DEBORAH CRISTINA MORAES LIMA</w:t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pt-BR" w:bidi="ar-SA"/>
              </w:rPr>
              <w:t>ISABELLA COSTA GUIMARÃES</w:t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pt-BR" w:bidi="ar-SA"/>
              </w:rPr>
              <w:t>VITÓRIA GIOVANA OLIVEIRA DE ABREU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pt-BR" w:bidi="ar-SA"/>
              </w:rPr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pt-BR" w:bidi="ar-SA"/>
              </w:rPr>
              <w:t>ANTONIO NATANNAEL MIGUENS ANDRADE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pt-BR" w:bidi="ar-SA"/>
              </w:rPr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DESCLASSIFICADOS – AUSENTES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Tabelacomgrade"/>
        <w:tblW w:w="4253" w:type="dxa"/>
        <w:jc w:val="left"/>
        <w:tblInd w:w="21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3"/>
      </w:tblGrid>
      <w:tr>
        <w:trPr/>
        <w:tc>
          <w:tcPr>
            <w:tcW w:w="4253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RUAN LUCAS SANTOS DE AMORIM</w:t>
            </w:r>
          </w:p>
        </w:tc>
      </w:tr>
      <w:tr>
        <w:trPr/>
        <w:tc>
          <w:tcPr>
            <w:tcW w:w="4253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CAMILLA DE LELLIS MESQUITA AMORIM</w:t>
            </w:r>
          </w:p>
        </w:tc>
      </w:tr>
    </w:tbl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spacing w:before="0" w:after="160"/>
        <w:jc w:val="right"/>
        <w:rPr>
          <w:rFonts w:ascii="Ecofont Vera Sans" w:hAnsi="Ecofont Vera Sans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cofont Vera Sans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5"/>
      </w:numPr>
      <w:spacing w:before="0" w:after="0"/>
      <w:jc w:val="center"/>
      <w:rPr>
        <w:rFonts w:ascii="Ecofont Vera Sans" w:hAnsi="Ecofont Vera Sans"/>
        <w:color w:val="auto"/>
        <w:kern w:val="2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1270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72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2" stroked="t" style="position:absolute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4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872e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asciiTheme="minorHAnsi" w:eastAsiaTheme="minorHAnsi" w:hAnsiTheme="minorHAnsi" w:cs="Times New Roman"/>
      <w:color w:val="auto"/>
      <w:kern w:val="0"/>
      <w:sz w:val="22"/>
      <w:szCs w:val="22"/>
      <w:lang w:eastAsia="en-US" w:val="pt-BR" w:bidi="ar-SA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LibreOffice/7.1.4.2$Windows_X86_64 LibreOffice_project/a529a4fab45b75fefc5b6226684193eb000654f6</Application>
  <AppVersion>15.0000</AppVersion>
  <Pages>3</Pages>
  <Words>304</Words>
  <Characters>1700</Characters>
  <CharactersWithSpaces>1970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2021-09-20T17:49:00Z</dcterms:created>
  <dc:creator>Lorena Fernandes</dc:creator>
  <dc:description/>
  <dc:language>pt-BR</dc:language>
  <cp:lastModifiedBy>Lorena Fernandes</cp:lastModifiedBy>
  <cp:lastPrinted>2021-09-20T18:19:00Z</cp:lastPrinted>
  <dcterms:modified xsi:type="dcterms:W3CDTF">2021-09-20T18:32:00Z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