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w w:val="90"/>
          <w:sz w:val="22"/>
          <w:szCs w:val="22"/>
        </w:rPr>
      </w:pPr>
      <w:r>
        <w:rPr>
          <w:rFonts w:ascii="Ecofont Vera Sans" w:hAnsi="Ecofont Vera Sans"/>
          <w:b/>
          <w:w w:val="90"/>
          <w:sz w:val="22"/>
          <w:szCs w:val="22"/>
        </w:rPr>
        <w:t>EDITAL 008.2021</w:t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eastAsia="Calibri Light" w:ascii="Ecofont Vera Sans" w:hAnsi="Ecofont Vera Sans"/>
          <w:b/>
          <w:w w:val="90"/>
          <w:sz w:val="22"/>
          <w:szCs w:val="22"/>
        </w:rPr>
        <w:t>3º</w:t>
      </w:r>
      <w:r>
        <w:rPr>
          <w:rFonts w:ascii="Ecofont Vera Sans" w:hAnsi="Ecofont Vera Sans"/>
          <w:b/>
          <w:w w:val="90"/>
          <w:sz w:val="22"/>
          <w:szCs w:val="22"/>
        </w:rPr>
        <w:t xml:space="preserve"> PROCESSO SELETIVO DE ESTÁGIO FORENSE DE PÓS-GRADUAÇÃO PARA ADMISSÃO DE ESTAGIÁRIOS DE DIREITO NO NÚCLEO REGIONAL DE IMPERATRIZ DA DEFENSORIA PÚBLICA DO ESTADO DO MARANHÃO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extbody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bCs/>
          <w:sz w:val="22"/>
          <w:szCs w:val="32"/>
        </w:rPr>
        <w:t>A DEFENSORIA PÚBLICA DO ESTADO DO MARANHÃO – NÚCLEO IMPERATRIZ, através da Comissão do 3°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Ecofont Vera Sans" w:hAnsi="Ecofont Vera Sans"/>
          <w:bCs/>
          <w:sz w:val="22"/>
          <w:szCs w:val="32"/>
        </w:rPr>
      </w:pPr>
      <w:r>
        <w:rPr>
          <w:rFonts w:ascii="Ecofont Vera Sans" w:hAnsi="Ecofont Vera Sans"/>
          <w:bCs/>
          <w:sz w:val="22"/>
          <w:szCs w:val="3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 xml:space="preserve">1. CONVOCAÇÃO </w:t>
      </w:r>
    </w:p>
    <w:p>
      <w:pPr>
        <w:pStyle w:val="Default"/>
        <w:spacing w:lineRule="auto" w:line="276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1.1. Convoca os candidatos listados, aprovado no 3° Processo Seletivo de Estágio Forense de Pós-Graduação, a encaminhar para o e-mail: </w:t>
      </w:r>
      <w:r>
        <w:rPr>
          <w:rFonts w:ascii="Ecofont Vera Sans" w:hAnsi="Ecofont Vera Sans"/>
          <w:b/>
          <w:sz w:val="22"/>
          <w:szCs w:val="22"/>
        </w:rPr>
        <w:t>nucleoimperatriz@ma.def.br</w:t>
      </w:r>
      <w:r>
        <w:rPr>
          <w:rFonts w:ascii="Ecofont Vera Sans" w:hAnsi="Ecofont Vera Sans"/>
          <w:sz w:val="22"/>
          <w:szCs w:val="22"/>
        </w:rPr>
        <w:t xml:space="preserve">, no período de 13 a 15 de julho de 2021, as documentações abaixo: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CPF;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Carteira de Identidade –RG;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residência;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Histórico escolar;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62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Declaração de não exercer, cumulativamente com o estágio, atividades concomitantes em outro ramo </w:t>
      </w:r>
      <w:r>
        <w:rPr>
          <w:rFonts w:ascii="Ecofont Vera Sans" w:hAnsi="Ecofont Vera Sans"/>
          <w:color w:val="000000"/>
        </w:rPr>
        <w:t>da Defensoria Pública</w:t>
      </w:r>
      <w:r>
        <w:rPr>
          <w:rFonts w:ascii="Ecofont Vera Sans" w:hAnsi="Ecofont Vera Sans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Declaração de que pode dispor de 20 horas semanais, de tempo suficiente para dedicação exclusiva ao estágio e atestado médico que comprove aptidão clínica para o exercício da função.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widowControl w:val="false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1.2. A convocação para ingresso nas vagas oferecidas respeitará rigorosamente a ordem de classificação, conforme item 6.1 do Edital nº 001/2021 e de acordo com a necessidade da Instituição.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1.3. Os candidatos que não apresentarem a documentação na data prevista, serão considerados como desistentes.</w:t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1.4. O candidato </w:t>
      </w:r>
      <w:r>
        <w:rPr>
          <w:rFonts w:cs="Calibri" w:ascii="Ecofont Vera Sans" w:hAnsi="Ecofont Vera Sans"/>
          <w:sz w:val="22"/>
          <w:szCs w:val="22"/>
        </w:rPr>
        <w:t>Antônio Rogério Nunes Moraes Júnior (8° colocado), requeriu alocação em final de fila do processo seletivo. Requerimento deferido.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0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7912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ORD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 w:cs="Calibri"/>
                <w:b/>
                <w:b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sz w:val="22"/>
                <w:szCs w:val="22"/>
              </w:rPr>
              <w:t>NOME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9°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Karollyne Silva Ferraz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10°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Gabriela Soares Sucupira</w:t>
            </w:r>
          </w:p>
        </w:tc>
      </w:tr>
    </w:tbl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Publique-se e Cumpra-se.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Imperatriz/MA, 12</w:t>
      </w:r>
      <w:bookmarkStart w:id="0" w:name="_GoBack"/>
      <w:bookmarkEnd w:id="0"/>
      <w:r>
        <w:rPr>
          <w:rFonts w:ascii="Ecofont Vera Sans" w:hAnsi="Ecofont Vera Sans"/>
          <w:sz w:val="22"/>
          <w:szCs w:val="22"/>
        </w:rPr>
        <w:t xml:space="preserve"> de julho de 2021.</w:t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ANDRÉ CONGIU ANDRADE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 xml:space="preserve">Coordenador </w:t>
      </w:r>
      <w:r>
        <w:rPr>
          <w:rFonts w:ascii="Ecofont Vera Sans" w:hAnsi="Ecofont Vera Sans"/>
          <w:i/>
          <w:w w:val="90"/>
        </w:rPr>
        <w:t>em exercício</w:t>
      </w:r>
      <w:r>
        <w:rPr>
          <w:rFonts w:ascii="Ecofont Vera Sans" w:hAnsi="Ecofont Vera Sans"/>
          <w:w w:val="90"/>
        </w:rPr>
        <w:t xml:space="preserve"> do Núcleo Regional de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paragraph" w:styleId="Default" w:customStyle="1">
    <w:name w:val="Default"/>
    <w:qFormat/>
    <w:rsid w:val="002519f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C8CB5-6384-47FA-AF51-0A15FA3C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LibreOffice/7.1.4.2$Windows_X86_64 LibreOffice_project/a529a4fab45b75fefc5b6226684193eb000654f6</Application>
  <AppVersion>15.0000</AppVersion>
  <Pages>3</Pages>
  <Words>421</Words>
  <Characters>2386</Characters>
  <CharactersWithSpaces>2774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2021-07-07T17:03:00Z</dcterms:created>
  <dc:creator>kbsilva</dc:creator>
  <dc:description/>
  <dc:language>pt-BR</dc:language>
  <cp:lastModifiedBy>Marcus da Cruz Santos</cp:lastModifiedBy>
  <cp:lastPrinted>2021-06-16T18:37:00Z</cp:lastPrinted>
  <dcterms:modified xsi:type="dcterms:W3CDTF">2021-07-09T18:47:00Z</dcterms:modified>
  <cp:revision>6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