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EDITAL Nº 004/2021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APOIO JURÍDICO NO GABINETE DA DEFENSORIA GERAL, GABINETE DA SUBDEFENSORIA GERAL E ESCOLA SUPERIOR DA DEFENSORIA PÚBLICA DO ESTADO DO MARANHÃO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NOTAS DEFINITIVAS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da análise curricular e julgamento dos recursos serão publicados dia 23/03/2021.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19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8BEA71F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38BEA71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a3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127a35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127a35"/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link w:val="Rodap"/>
    <w:uiPriority w:val="99"/>
    <w:qFormat/>
    <w:rsid w:val="00127a35"/>
    <w:rPr/>
  </w:style>
  <w:style w:type="character" w:styleId="RodapChar1" w:customStyle="1">
    <w:name w:val="Rodapé Char1"/>
    <w:basedOn w:val="DefaultParagraphFont"/>
    <w:uiPriority w:val="99"/>
    <w:semiHidden/>
    <w:qFormat/>
    <w:rsid w:val="00127a3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127a3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127a3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146</Words>
  <Characters>817</Characters>
  <CharactersWithSpaces>967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2021-03-19T17:49:00Z</dcterms:created>
  <dc:creator>Lorena Fernandes</dc:creator>
  <dc:description/>
  <dc:language>pt-BR</dc:language>
  <cp:lastModifiedBy>Lorena Fernandes</cp:lastModifiedBy>
  <dcterms:modified xsi:type="dcterms:W3CDTF">2021-03-19T17:51:00Z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